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30A" w:rsidRDefault="008A730A" w:rsidP="008A73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730A" w:rsidRPr="008A730A" w:rsidRDefault="008A730A" w:rsidP="008A730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8A730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Мониторинг трудоустройства 2021-2023 учебные года</w:t>
      </w:r>
    </w:p>
    <w:p w:rsidR="008A730A" w:rsidRDefault="008A730A" w:rsidP="008A730A">
      <w:pPr>
        <w:pStyle w:val="a3"/>
        <w:tabs>
          <w:tab w:val="left" w:pos="1140"/>
        </w:tabs>
      </w:pPr>
    </w:p>
    <w:p w:rsidR="008A730A" w:rsidRDefault="008A730A" w:rsidP="008A730A">
      <w:pPr>
        <w:pStyle w:val="a3"/>
        <w:tabs>
          <w:tab w:val="left" w:pos="1140"/>
        </w:tabs>
      </w:pPr>
      <w:r>
        <w:rPr>
          <w:noProof/>
        </w:rPr>
        <w:drawing>
          <wp:inline distT="0" distB="0" distL="0" distR="0" wp14:anchorId="49576D1C" wp14:editId="3A01B50C">
            <wp:extent cx="5314950" cy="3238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4ECA" w:rsidRDefault="00F14ECA"/>
    <w:p w:rsidR="008A730A" w:rsidRDefault="008A730A" w:rsidP="008A730A">
      <w:r>
        <w:t>С</w:t>
      </w:r>
      <w:r>
        <w:t>реднее профессиональное образование, 2021 год выпуска (календарный), по образовательным организациям,</w:t>
      </w:r>
      <w:r>
        <w:t xml:space="preserve"> </w:t>
      </w:r>
      <w:r>
        <w:t>мониторинг профессиональной и иной деятельности граждан Роструда за I квартал 2022 г.</w:t>
      </w:r>
      <w:r>
        <w:t xml:space="preserve"> – 70%</w:t>
      </w:r>
    </w:p>
    <w:p w:rsidR="008A730A" w:rsidRDefault="008A730A" w:rsidP="008A730A">
      <w:r>
        <w:t>Доля выпускников 2022г, трудоустроившихся в течение календарного года, следующего за годом выпуска – 75,2% (по данным Роструда)</w:t>
      </w:r>
      <w:bookmarkStart w:id="0" w:name="_GoBack"/>
      <w:bookmarkEnd w:id="0"/>
    </w:p>
    <w:sectPr w:rsidR="008A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C2D89"/>
    <w:multiLevelType w:val="hybridMultilevel"/>
    <w:tmpl w:val="89D2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0A"/>
    <w:rsid w:val="008A730A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D821"/>
  <w15:chartTrackingRefBased/>
  <w15:docId w15:val="{77994FA8-5C42-43BF-A919-9DF77AF0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70.8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A1-4789-8DF6-50A01B4173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59.3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A1-4789-8DF6-50A01B4173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ln w="2857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75.8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A1-4789-8DF6-50A01B417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3796911"/>
        <c:axId val="450694959"/>
      </c:lineChart>
      <c:catAx>
        <c:axId val="533796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694959"/>
        <c:crosses val="autoZero"/>
        <c:auto val="1"/>
        <c:lblAlgn val="ctr"/>
        <c:lblOffset val="100"/>
        <c:noMultiLvlLbl val="0"/>
      </c:catAx>
      <c:valAx>
        <c:axId val="450694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796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2023-09-18T04:27:00Z</dcterms:created>
  <dcterms:modified xsi:type="dcterms:W3CDTF">2023-09-18T04:36:00Z</dcterms:modified>
</cp:coreProperties>
</file>