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1518F" w14:textId="7A2DCC20" w:rsidR="0051713F" w:rsidRPr="00985111" w:rsidRDefault="0051713F" w:rsidP="0051713F">
      <w:pPr>
        <w:keepNext/>
        <w:tabs>
          <w:tab w:val="num" w:pos="0"/>
        </w:tabs>
        <w:suppressAutoHyphens/>
        <w:spacing w:line="276" w:lineRule="auto"/>
        <w:ind w:firstLine="709"/>
        <w:contextualSpacing/>
        <w:jc w:val="right"/>
        <w:outlineLvl w:val="0"/>
        <w:rPr>
          <w:rFonts w:ascii="Times New Roman" w:eastAsia="Times New Roman" w:hAnsi="Times New Roman" w:cs="Times New Roman"/>
          <w:b/>
          <w:bCs/>
          <w:kern w:val="2"/>
          <w:sz w:val="24"/>
          <w:szCs w:val="24"/>
          <w:lang w:eastAsia="zh-CN"/>
        </w:rPr>
      </w:pPr>
      <w:r w:rsidRPr="00985111">
        <w:rPr>
          <w:rFonts w:ascii="Times New Roman" w:eastAsia="Times New Roman" w:hAnsi="Times New Roman" w:cs="Times New Roman"/>
          <w:b/>
          <w:bCs/>
          <w:kern w:val="2"/>
          <w:sz w:val="24"/>
          <w:szCs w:val="24"/>
          <w:lang w:eastAsia="zh-CN"/>
        </w:rPr>
        <w:t>Приложение 5</w:t>
      </w:r>
    </w:p>
    <w:p w14:paraId="46A2C74C" w14:textId="3316B96B" w:rsidR="0051713F" w:rsidRPr="00985111" w:rsidRDefault="0051713F" w:rsidP="0051713F">
      <w:pPr>
        <w:suppressAutoHyphens/>
        <w:spacing w:after="200" w:line="276" w:lineRule="auto"/>
        <w:contextualSpacing/>
        <w:jc w:val="right"/>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sz w:val="24"/>
          <w:szCs w:val="24"/>
          <w:lang w:eastAsia="zh-CN"/>
        </w:rPr>
        <w:t xml:space="preserve">к ПОП-П по </w:t>
      </w:r>
      <w:r w:rsidR="00FA7DCC">
        <w:rPr>
          <w:rFonts w:ascii="Times New Roman" w:eastAsia="Times New Roman" w:hAnsi="Times New Roman" w:cs="Times New Roman"/>
          <w:sz w:val="24"/>
          <w:szCs w:val="24"/>
          <w:lang w:eastAsia="zh-CN"/>
        </w:rPr>
        <w:t>специальности</w:t>
      </w:r>
    </w:p>
    <w:p w14:paraId="3DF22129" w14:textId="77777777" w:rsidR="004333D9" w:rsidRDefault="004333D9" w:rsidP="004333D9">
      <w:pPr>
        <w:jc w:val="right"/>
        <w:rPr>
          <w:rFonts w:ascii="Times New Roman" w:eastAsia="Calibri" w:hAnsi="Times New Roman" w:cs="Times New Roman"/>
          <w:bCs/>
          <w:iCs/>
          <w:sz w:val="24"/>
          <w:szCs w:val="24"/>
        </w:rPr>
      </w:pPr>
      <w:r>
        <w:rPr>
          <w:rFonts w:ascii="Times New Roman" w:eastAsia="Calibri" w:hAnsi="Times New Roman" w:cs="Times New Roman"/>
          <w:bCs/>
          <w:iCs/>
          <w:sz w:val="24"/>
          <w:szCs w:val="24"/>
        </w:rPr>
        <w:t>38.02.07 Банковское дело</w:t>
      </w:r>
    </w:p>
    <w:p w14:paraId="6DC47B1C" w14:textId="3163E5EB" w:rsidR="0051713F" w:rsidRPr="00985111" w:rsidRDefault="0051713F" w:rsidP="0051713F">
      <w:pPr>
        <w:suppressAutoHyphens/>
        <w:spacing w:after="200" w:line="276" w:lineRule="auto"/>
        <w:contextualSpacing/>
        <w:jc w:val="right"/>
        <w:rPr>
          <w:rFonts w:ascii="Times New Roman" w:eastAsia="Times New Roman" w:hAnsi="Times New Roman" w:cs="Times New Roman"/>
          <w:b/>
          <w:i/>
          <w:sz w:val="24"/>
          <w:szCs w:val="24"/>
          <w:lang w:eastAsia="zh-CN"/>
        </w:rPr>
      </w:pPr>
    </w:p>
    <w:p w14:paraId="7DB7F5A0" w14:textId="77777777" w:rsidR="0051713F" w:rsidRPr="00F66EEA" w:rsidRDefault="0051713F" w:rsidP="0051713F">
      <w:pPr>
        <w:tabs>
          <w:tab w:val="right" w:leader="underscore" w:pos="9639"/>
        </w:tabs>
        <w:suppressAutoHyphens/>
        <w:spacing w:after="200" w:line="276" w:lineRule="auto"/>
        <w:contextualSpacing/>
        <w:jc w:val="center"/>
        <w:rPr>
          <w:rFonts w:ascii="Times New Roman" w:eastAsia="Times New Roman" w:hAnsi="Times New Roman" w:cs="Times New Roman"/>
          <w:b/>
          <w:sz w:val="24"/>
          <w:szCs w:val="24"/>
          <w:vertAlign w:val="superscript"/>
          <w:lang w:eastAsia="zh-CN"/>
        </w:rPr>
      </w:pPr>
    </w:p>
    <w:p w14:paraId="1556F9C2"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4B83A0E"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6A97F5DD"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62C003C3"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7B5D3FEE"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36A8379"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68429617"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5D84E817"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EC89E3C"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016B4283"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0AE33F7C"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B072BC0" w14:textId="77777777" w:rsidR="0051713F" w:rsidRPr="00985111" w:rsidRDefault="0051713F" w:rsidP="0051713F">
      <w:pPr>
        <w:shd w:val="clear" w:color="auto" w:fill="FFFFFF"/>
        <w:suppressAutoHyphens/>
        <w:spacing w:after="200" w:line="276" w:lineRule="auto"/>
        <w:contextualSpacing/>
        <w:jc w:val="center"/>
        <w:rPr>
          <w:rFonts w:ascii="Times New Roman" w:eastAsia="Times New Roman" w:hAnsi="Times New Roman" w:cs="Times New Roman"/>
          <w:b/>
          <w:i/>
          <w:sz w:val="24"/>
          <w:szCs w:val="24"/>
          <w:lang w:eastAsia="zh-CN"/>
        </w:rPr>
      </w:pPr>
    </w:p>
    <w:p w14:paraId="6D263076" w14:textId="77777777" w:rsidR="0051713F" w:rsidRPr="00985111" w:rsidRDefault="0051713F" w:rsidP="0051713F">
      <w:pPr>
        <w:keepNext/>
        <w:shd w:val="clear" w:color="auto" w:fill="FFFFFF"/>
        <w:tabs>
          <w:tab w:val="num" w:pos="0"/>
        </w:tabs>
        <w:suppressAutoHyphens/>
        <w:spacing w:line="276" w:lineRule="auto"/>
        <w:jc w:val="center"/>
        <w:outlineLvl w:val="0"/>
        <w:rPr>
          <w:rFonts w:ascii="Times New Roman" w:eastAsia="Times New Roman" w:hAnsi="Times New Roman" w:cs="Times New Roman"/>
          <w:b/>
          <w:bCs/>
          <w:kern w:val="2"/>
          <w:sz w:val="24"/>
          <w:szCs w:val="24"/>
          <w:lang w:eastAsia="zh-CN"/>
        </w:rPr>
      </w:pPr>
      <w:r w:rsidRPr="00985111">
        <w:rPr>
          <w:rFonts w:ascii="Times New Roman" w:eastAsia="Times New Roman" w:hAnsi="Times New Roman" w:cs="Times New Roman"/>
          <w:b/>
          <w:bCs/>
          <w:kern w:val="2"/>
          <w:sz w:val="24"/>
          <w:szCs w:val="24"/>
          <w:lang w:eastAsia="zh-CN"/>
        </w:rPr>
        <w:t xml:space="preserve">ПРИМЕРНОЕ СОДЕРЖАНИЕ </w:t>
      </w:r>
      <w:r w:rsidRPr="00985111">
        <w:rPr>
          <w:rFonts w:ascii="Times New Roman" w:eastAsia="Times New Roman" w:hAnsi="Times New Roman" w:cs="Times New Roman"/>
          <w:b/>
          <w:bCs/>
          <w:kern w:val="2"/>
          <w:sz w:val="24"/>
          <w:szCs w:val="24"/>
          <w:lang w:eastAsia="zh-CN"/>
        </w:rPr>
        <w:br/>
        <w:t>ГОСУДАРСТВЕННОЙ ИТОГОВОЙ АТТЕСТАЦИИ</w:t>
      </w:r>
    </w:p>
    <w:p w14:paraId="6D1E20F1" w14:textId="2EAB896F" w:rsidR="0051713F" w:rsidRPr="00985111" w:rsidRDefault="0051713F" w:rsidP="0051713F">
      <w:pPr>
        <w:keepNext/>
        <w:tabs>
          <w:tab w:val="num" w:pos="0"/>
        </w:tabs>
        <w:suppressAutoHyphens/>
        <w:spacing w:line="276" w:lineRule="auto"/>
        <w:ind w:firstLine="709"/>
        <w:contextualSpacing/>
        <w:jc w:val="center"/>
        <w:outlineLvl w:val="0"/>
        <w:rPr>
          <w:rFonts w:ascii="Times New Roman" w:eastAsia="Times New Roman" w:hAnsi="Times New Roman" w:cs="Times New Roman"/>
          <w:b/>
          <w:bCs/>
          <w:kern w:val="2"/>
          <w:sz w:val="24"/>
          <w:szCs w:val="24"/>
          <w:lang w:eastAsia="zh-CN"/>
        </w:rPr>
      </w:pPr>
      <w:r w:rsidRPr="00985111">
        <w:rPr>
          <w:rFonts w:ascii="Times New Roman" w:eastAsia="Times New Roman" w:hAnsi="Times New Roman" w:cs="Times New Roman"/>
          <w:b/>
          <w:bCs/>
          <w:kern w:val="2"/>
          <w:sz w:val="24"/>
          <w:szCs w:val="24"/>
          <w:lang w:eastAsia="zh-CN"/>
        </w:rPr>
        <w:t xml:space="preserve">ПО </w:t>
      </w:r>
      <w:r w:rsidR="00FA7DCC">
        <w:rPr>
          <w:rFonts w:ascii="Times New Roman" w:eastAsia="Times New Roman" w:hAnsi="Times New Roman" w:cs="Times New Roman"/>
          <w:b/>
          <w:bCs/>
          <w:kern w:val="2"/>
          <w:sz w:val="24"/>
          <w:szCs w:val="24"/>
          <w:lang w:eastAsia="zh-CN"/>
        </w:rPr>
        <w:t>СПЕЦИАЛЬНОСТИ</w:t>
      </w:r>
      <w:r w:rsidRPr="00985111">
        <w:rPr>
          <w:rFonts w:ascii="Times New Roman" w:eastAsia="Times New Roman" w:hAnsi="Times New Roman" w:cs="Times New Roman"/>
          <w:b/>
          <w:bCs/>
          <w:kern w:val="2"/>
          <w:sz w:val="24"/>
          <w:szCs w:val="24"/>
          <w:lang w:eastAsia="zh-CN"/>
        </w:rPr>
        <w:t xml:space="preserve"> </w:t>
      </w:r>
    </w:p>
    <w:p w14:paraId="3E00BA5F" w14:textId="77777777" w:rsidR="004333D9" w:rsidRPr="004333D9" w:rsidRDefault="004333D9" w:rsidP="004333D9">
      <w:pPr>
        <w:jc w:val="center"/>
        <w:rPr>
          <w:rFonts w:ascii="Times New Roman" w:eastAsia="Calibri" w:hAnsi="Times New Roman" w:cs="Times New Roman"/>
          <w:b/>
          <w:iCs/>
          <w:sz w:val="24"/>
          <w:szCs w:val="24"/>
        </w:rPr>
      </w:pPr>
      <w:r w:rsidRPr="004333D9">
        <w:rPr>
          <w:rFonts w:ascii="Times New Roman" w:eastAsia="Calibri" w:hAnsi="Times New Roman" w:cs="Times New Roman"/>
          <w:b/>
          <w:iCs/>
          <w:sz w:val="24"/>
          <w:szCs w:val="24"/>
        </w:rPr>
        <w:t>38.02.07 Банковское дело</w:t>
      </w:r>
    </w:p>
    <w:p w14:paraId="46569BE4" w14:textId="77777777" w:rsidR="0051713F" w:rsidRPr="00FA4D9D" w:rsidRDefault="0051713F" w:rsidP="0051713F">
      <w:pPr>
        <w:suppressAutoHyphens/>
        <w:spacing w:after="200" w:line="276" w:lineRule="auto"/>
        <w:contextualSpacing/>
        <w:jc w:val="center"/>
        <w:rPr>
          <w:rFonts w:ascii="Times New Roman" w:eastAsia="Times New Roman" w:hAnsi="Times New Roman" w:cs="Times New Roman"/>
          <w:b/>
          <w:i/>
          <w:sz w:val="28"/>
          <w:szCs w:val="28"/>
          <w:lang w:eastAsia="zh-CN"/>
        </w:rPr>
      </w:pPr>
    </w:p>
    <w:p w14:paraId="03A75C83" w14:textId="77777777" w:rsidR="0051713F" w:rsidRPr="00F66EEA" w:rsidRDefault="0051713F" w:rsidP="0051713F">
      <w:pPr>
        <w:suppressAutoHyphens/>
        <w:spacing w:after="200" w:line="276" w:lineRule="auto"/>
        <w:contextualSpacing/>
        <w:jc w:val="center"/>
        <w:rPr>
          <w:rFonts w:ascii="Times New Roman" w:eastAsia="Times New Roman" w:hAnsi="Times New Roman" w:cs="Times New Roman"/>
          <w:b/>
          <w:bCs/>
          <w:i/>
          <w:sz w:val="28"/>
          <w:szCs w:val="28"/>
          <w:lang w:eastAsia="zh-CN"/>
        </w:rPr>
      </w:pPr>
    </w:p>
    <w:p w14:paraId="4694C988"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55044C3C"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20ED6DDE"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F9CAFD8"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912D546"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728CB62B"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1B35845D"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6F239742"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436EB703"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096FC7A2"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204A47A7"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5CAB952D"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3D86D270"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7843EC86"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60D5C8B7"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0481EE06"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079511FB"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7CDF8DB1"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274BB264"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1E07802B" w14:textId="77777777" w:rsidR="0051713F" w:rsidRPr="00985111" w:rsidRDefault="0051713F" w:rsidP="0051713F">
      <w:pPr>
        <w:suppressAutoHyphens/>
        <w:spacing w:after="200" w:line="276" w:lineRule="auto"/>
        <w:contextualSpacing/>
        <w:jc w:val="center"/>
        <w:rPr>
          <w:rFonts w:ascii="Times New Roman" w:eastAsia="Times New Roman" w:hAnsi="Times New Roman" w:cs="Times New Roman"/>
          <w:b/>
          <w:i/>
          <w:sz w:val="24"/>
          <w:szCs w:val="24"/>
          <w:lang w:eastAsia="zh-CN"/>
        </w:rPr>
      </w:pPr>
    </w:p>
    <w:p w14:paraId="20CCC34C" w14:textId="74CF0D64" w:rsidR="0051713F" w:rsidRPr="00985111" w:rsidRDefault="0051713F" w:rsidP="0051713F">
      <w:pPr>
        <w:suppressAutoHyphens/>
        <w:spacing w:after="200" w:line="276" w:lineRule="auto"/>
        <w:contextualSpacing/>
        <w:jc w:val="center"/>
        <w:rPr>
          <w:rFonts w:ascii="Times New Roman" w:eastAsia="Times New Roman" w:hAnsi="Times New Roman" w:cs="Times New Roman"/>
          <w:b/>
          <w:iCs/>
          <w:sz w:val="24"/>
          <w:szCs w:val="24"/>
          <w:lang w:eastAsia="zh-CN"/>
        </w:rPr>
      </w:pPr>
      <w:r w:rsidRPr="00985111">
        <w:rPr>
          <w:rFonts w:ascii="Times New Roman" w:eastAsia="Times New Roman" w:hAnsi="Times New Roman" w:cs="Times New Roman"/>
          <w:b/>
          <w:iCs/>
          <w:sz w:val="24"/>
          <w:szCs w:val="24"/>
          <w:lang w:eastAsia="zh-CN"/>
        </w:rPr>
        <w:t>202</w:t>
      </w:r>
      <w:r w:rsidR="00F66EEA">
        <w:rPr>
          <w:rFonts w:ascii="Times New Roman" w:eastAsia="Times New Roman" w:hAnsi="Times New Roman" w:cs="Times New Roman"/>
          <w:b/>
          <w:iCs/>
          <w:sz w:val="24"/>
          <w:szCs w:val="24"/>
          <w:lang w:eastAsia="zh-CN"/>
        </w:rPr>
        <w:t>3</w:t>
      </w:r>
      <w:r w:rsidRPr="00985111">
        <w:rPr>
          <w:rFonts w:ascii="Times New Roman" w:eastAsia="Times New Roman" w:hAnsi="Times New Roman" w:cs="Times New Roman"/>
          <w:b/>
          <w:iCs/>
          <w:sz w:val="24"/>
          <w:szCs w:val="24"/>
          <w:lang w:eastAsia="zh-CN"/>
        </w:rPr>
        <w:t xml:space="preserve"> г.</w:t>
      </w:r>
    </w:p>
    <w:p w14:paraId="76CD02B5" w14:textId="77777777" w:rsidR="00927A58" w:rsidRDefault="00927A58" w:rsidP="0051713F">
      <w:pPr>
        <w:suppressAutoHyphens/>
        <w:jc w:val="center"/>
        <w:rPr>
          <w:rFonts w:ascii="Times New Roman" w:eastAsia="Times New Roman" w:hAnsi="Times New Roman" w:cs="Times New Roman"/>
          <w:b/>
          <w:iCs/>
          <w:sz w:val="24"/>
          <w:szCs w:val="24"/>
          <w:lang w:eastAsia="zh-CN"/>
        </w:rPr>
        <w:sectPr w:rsidR="00927A58" w:rsidSect="000E6DD2">
          <w:headerReference w:type="default" r:id="rId8"/>
          <w:pgSz w:w="11907" w:h="16840"/>
          <w:pgMar w:top="1134" w:right="567" w:bottom="1134" w:left="1701" w:header="567" w:footer="709" w:gutter="0"/>
          <w:cols w:space="720"/>
          <w:titlePg/>
          <w:docGrid w:linePitch="299"/>
        </w:sectPr>
      </w:pPr>
    </w:p>
    <w:p w14:paraId="6A6CEDA2" w14:textId="656535C7" w:rsidR="0051713F" w:rsidRPr="00985111" w:rsidRDefault="0051713F" w:rsidP="0051713F">
      <w:pPr>
        <w:suppressAutoHyphens/>
        <w:jc w:val="center"/>
        <w:rPr>
          <w:rFonts w:ascii="Times New Roman" w:eastAsia="Times New Roman" w:hAnsi="Times New Roman" w:cs="Times New Roman"/>
          <w:b/>
          <w:iCs/>
          <w:sz w:val="24"/>
          <w:szCs w:val="24"/>
          <w:lang w:eastAsia="zh-CN"/>
        </w:rPr>
      </w:pPr>
      <w:r w:rsidRPr="00985111">
        <w:rPr>
          <w:rFonts w:ascii="Times New Roman" w:eastAsia="Times New Roman" w:hAnsi="Times New Roman" w:cs="Times New Roman"/>
          <w:b/>
          <w:iCs/>
          <w:sz w:val="24"/>
          <w:szCs w:val="24"/>
          <w:lang w:eastAsia="zh-CN"/>
        </w:rPr>
        <w:lastRenderedPageBreak/>
        <w:t>СОДЕРЖАНИЕ</w:t>
      </w:r>
    </w:p>
    <w:p w14:paraId="6FE55470" w14:textId="77777777" w:rsidR="0051713F" w:rsidRPr="00985111" w:rsidRDefault="0051713F" w:rsidP="0051713F">
      <w:pPr>
        <w:suppressAutoHyphens/>
        <w:jc w:val="center"/>
        <w:rPr>
          <w:rFonts w:ascii="Times New Roman" w:eastAsia="Times New Roman" w:hAnsi="Times New Roman" w:cs="Times New Roman"/>
          <w:b/>
          <w:iCs/>
          <w:sz w:val="24"/>
          <w:szCs w:val="24"/>
          <w:lang w:eastAsia="zh-CN"/>
        </w:rPr>
      </w:pPr>
    </w:p>
    <w:p w14:paraId="4BE53ECE" w14:textId="77777777" w:rsidR="0051713F" w:rsidRPr="00985111" w:rsidRDefault="0051713F" w:rsidP="009644CA">
      <w:pPr>
        <w:numPr>
          <w:ilvl w:val="0"/>
          <w:numId w:val="8"/>
        </w:numPr>
        <w:suppressAutoHyphens/>
        <w:spacing w:after="200" w:line="360" w:lineRule="auto"/>
        <w:ind w:left="0" w:firstLine="0"/>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b/>
          <w:sz w:val="24"/>
          <w:szCs w:val="24"/>
          <w:lang w:eastAsia="zh-CN"/>
        </w:rPr>
        <w:t>СТРУКТУРА ОЦЕНОЧНЫХ МАТЕРИАЛОВ ДЛЯ ПРОВЕДЕНИЯ ДЕМОНСТРАЦИОННОГО ЭКЗАМЕНА ПРОФИЛЬНОГО УРОВНЯ</w:t>
      </w:r>
    </w:p>
    <w:p w14:paraId="34A730E4" w14:textId="0300655A" w:rsidR="0051713F" w:rsidRPr="008234CA" w:rsidRDefault="0051713F" w:rsidP="009644CA">
      <w:pPr>
        <w:numPr>
          <w:ilvl w:val="0"/>
          <w:numId w:val="8"/>
        </w:numPr>
        <w:suppressAutoHyphens/>
        <w:spacing w:after="200" w:line="360" w:lineRule="auto"/>
        <w:ind w:left="0" w:firstLine="0"/>
        <w:contextualSpacing/>
        <w:jc w:val="both"/>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 xml:space="preserve">КОМПЛЕКС ТРЕБОВАНИЙ И РЕКОМЕНДАЦИЙ ДЛЯ ПРОВЕДЕНИЯ ДЕМОНСТРАЦИОННОГО ЭКЗАМЕНА </w:t>
      </w:r>
      <w:r w:rsidRPr="00985111">
        <w:rPr>
          <w:rFonts w:ascii="Times New Roman" w:eastAsia="Times New Roman" w:hAnsi="Times New Roman" w:cs="Times New Roman"/>
          <w:b/>
          <w:bCs/>
          <w:color w:val="000000"/>
          <w:sz w:val="24"/>
          <w:szCs w:val="24"/>
          <w:shd w:val="clear" w:color="auto" w:fill="FFFFFF"/>
          <w:lang w:eastAsia="zh-CN"/>
        </w:rPr>
        <w:t>ПРОФИЛЬНОГО УРОВНЯ</w:t>
      </w:r>
    </w:p>
    <w:p w14:paraId="59AAEEBB" w14:textId="77777777" w:rsidR="008234CA" w:rsidRPr="00985111" w:rsidRDefault="008234CA" w:rsidP="008234CA">
      <w:pPr>
        <w:numPr>
          <w:ilvl w:val="0"/>
          <w:numId w:val="8"/>
        </w:numPr>
        <w:suppressAutoHyphens/>
        <w:spacing w:after="200" w:line="360" w:lineRule="auto"/>
        <w:ind w:left="0" w:firstLine="0"/>
        <w:contextualSpacing/>
        <w:jc w:val="both"/>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ОРГАНИЗАЦИЯ И ПРОВЕДЕНИЕ ЗАЩИТЫ ДИПЛОМНОЙ РАБОТЫ (ДИПЛОМНОГО ПРОЕКТА)</w:t>
      </w:r>
    </w:p>
    <w:p w14:paraId="413CEF08" w14:textId="77777777" w:rsidR="008234CA" w:rsidRPr="00985111" w:rsidRDefault="008234CA" w:rsidP="008234CA">
      <w:pPr>
        <w:suppressAutoHyphens/>
        <w:spacing w:after="200" w:line="360" w:lineRule="auto"/>
        <w:contextualSpacing/>
        <w:jc w:val="both"/>
        <w:rPr>
          <w:rFonts w:ascii="Times New Roman" w:eastAsia="Times New Roman" w:hAnsi="Times New Roman" w:cs="Times New Roman"/>
          <w:b/>
          <w:sz w:val="24"/>
          <w:szCs w:val="24"/>
          <w:lang w:eastAsia="zh-CN"/>
        </w:rPr>
      </w:pPr>
    </w:p>
    <w:p w14:paraId="07E15FD4" w14:textId="77777777" w:rsidR="0051713F" w:rsidRPr="00985111" w:rsidRDefault="0051713F" w:rsidP="0051713F">
      <w:pPr>
        <w:suppressAutoHyphens/>
        <w:jc w:val="both"/>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br w:type="page"/>
      </w:r>
    </w:p>
    <w:p w14:paraId="6C25F7AB" w14:textId="77777777" w:rsidR="0051713F" w:rsidRPr="00985111" w:rsidRDefault="0051713F" w:rsidP="009644CA">
      <w:pPr>
        <w:numPr>
          <w:ilvl w:val="0"/>
          <w:numId w:val="7"/>
        </w:numPr>
        <w:tabs>
          <w:tab w:val="left" w:pos="142"/>
        </w:tabs>
        <w:suppressAutoHyphens/>
        <w:spacing w:after="200" w:line="360" w:lineRule="auto"/>
        <w:ind w:left="0" w:firstLine="0"/>
        <w:contextualSpacing/>
        <w:jc w:val="center"/>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lastRenderedPageBreak/>
        <w:t>СТРУКТУРА ОЦЕНОЧНЫХ МАТЕРИАЛОВ ДЛЯ ПРОВЕДЕНИЯ ДЕМОНСТРАЦИОННОГО ЭКЗАМЕНА ПРОФИЛЬНОГО УРОВНЯ</w:t>
      </w:r>
    </w:p>
    <w:p w14:paraId="079B490B" w14:textId="014EC593" w:rsidR="0051713F" w:rsidRPr="00985111" w:rsidRDefault="00A4645A" w:rsidP="0051713F">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Для выпускников, осваивающих ППССЗ в рамках ФП «Профессионалитет», государственная итоговая аттестация в соответствии с ФГОС СПО проводится в форме демонстрационного экзамена профильного уровня и защиты дипломного проекта (работы</w:t>
      </w:r>
      <w:r w:rsidR="0051713F" w:rsidRPr="00985111">
        <w:rPr>
          <w:rFonts w:ascii="Times New Roman" w:eastAsia="Times New Roman" w:hAnsi="Times New Roman" w:cs="Times New Roman"/>
          <w:sz w:val="24"/>
          <w:szCs w:val="24"/>
          <w:lang w:eastAsia="zh-CN"/>
        </w:rPr>
        <w:t>.</w:t>
      </w:r>
    </w:p>
    <w:p w14:paraId="4E81D4C9" w14:textId="77777777" w:rsidR="0051713F" w:rsidRPr="00985111" w:rsidRDefault="0051713F" w:rsidP="009644CA">
      <w:pPr>
        <w:numPr>
          <w:ilvl w:val="1"/>
          <w:numId w:val="7"/>
        </w:numPr>
        <w:suppressAutoHyphens/>
        <w:spacing w:after="200" w:line="276" w:lineRule="auto"/>
        <w:ind w:left="0" w:firstLine="709"/>
        <w:contextualSpacing/>
        <w:jc w:val="both"/>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 xml:space="preserve">Структура оценочных материалов </w:t>
      </w:r>
    </w:p>
    <w:p w14:paraId="65CD0C5E" w14:textId="77777777" w:rsidR="0051713F" w:rsidRPr="00985111" w:rsidRDefault="0051713F" w:rsidP="0051713F">
      <w:pPr>
        <w:suppressAutoHyphens/>
        <w:spacing w:line="276" w:lineRule="auto"/>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Оценочные материалы для проведения демонстрационного экзамена профильного уровня включают в себя комплект(ы) оценочной документации, варианты заданий и критерии оценивания. </w:t>
      </w:r>
    </w:p>
    <w:p w14:paraId="06605AD4" w14:textId="77777777" w:rsidR="0051713F" w:rsidRPr="00985111" w:rsidRDefault="0051713F" w:rsidP="009644CA">
      <w:pPr>
        <w:numPr>
          <w:ilvl w:val="1"/>
          <w:numId w:val="7"/>
        </w:numPr>
        <w:suppressAutoHyphens/>
        <w:spacing w:after="200" w:line="276" w:lineRule="auto"/>
        <w:ind w:left="0" w:firstLine="709"/>
        <w:contextualSpacing/>
        <w:jc w:val="both"/>
        <w:rPr>
          <w:rFonts w:ascii="Times New Roman" w:eastAsia="Times New Roman" w:hAnsi="Times New Roman" w:cs="Times New Roman"/>
          <w:b/>
          <w:bCs/>
          <w:color w:val="000000"/>
          <w:sz w:val="24"/>
          <w:szCs w:val="24"/>
          <w:shd w:val="clear" w:color="auto" w:fill="FFFFFF"/>
          <w:lang w:eastAsia="zh-CN"/>
        </w:rPr>
      </w:pPr>
      <w:r w:rsidRPr="00985111">
        <w:rPr>
          <w:rFonts w:ascii="Times New Roman" w:eastAsia="Times New Roman" w:hAnsi="Times New Roman" w:cs="Times New Roman"/>
          <w:b/>
          <w:bCs/>
          <w:color w:val="000000"/>
          <w:sz w:val="24"/>
          <w:szCs w:val="24"/>
          <w:shd w:val="clear" w:color="auto" w:fill="FFFFFF"/>
          <w:lang w:eastAsia="zh-CN"/>
        </w:rPr>
        <w:t xml:space="preserve">Структура комплекта оценочной документации </w:t>
      </w:r>
    </w:p>
    <w:p w14:paraId="398920FA" w14:textId="77777777" w:rsidR="0051713F" w:rsidRPr="00985111" w:rsidRDefault="0051713F" w:rsidP="0051713F">
      <w:pPr>
        <w:suppressAutoHyphens/>
        <w:spacing w:line="276" w:lineRule="auto"/>
        <w:ind w:firstLine="709"/>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Комплект оценочной документации (далее – КОД) должен включать в себя следующие разделы:</w:t>
      </w:r>
    </w:p>
    <w:p w14:paraId="5CC2E5DE"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Комплекс требований для проведения демонстрационного экзамена.</w:t>
      </w:r>
    </w:p>
    <w:p w14:paraId="3BF967B1"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Перечень оборудования и оснащения, расходных материалов, средств </w:t>
      </w:r>
      <w:r w:rsidRPr="00985111">
        <w:rPr>
          <w:rFonts w:ascii="Times New Roman" w:eastAsia="Times New Roman" w:hAnsi="Times New Roman" w:cs="Times New Roman"/>
          <w:sz w:val="24"/>
          <w:szCs w:val="24"/>
          <w:lang w:eastAsia="zh-CN"/>
        </w:rPr>
        <w:br/>
        <w:t>обучения и воспитания.</w:t>
      </w:r>
    </w:p>
    <w:p w14:paraId="6A0BB64F"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План застройки площадки демонстрационного экзамена.</w:t>
      </w:r>
    </w:p>
    <w:p w14:paraId="5E5DD9B3"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Требования к составу экспертных групп.</w:t>
      </w:r>
    </w:p>
    <w:p w14:paraId="5175A289"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Инструкции по технике безопасности.</w:t>
      </w:r>
    </w:p>
    <w:p w14:paraId="28E93AF0" w14:textId="77777777" w:rsidR="0051713F" w:rsidRPr="00985111" w:rsidRDefault="0051713F" w:rsidP="009644CA">
      <w:pPr>
        <w:numPr>
          <w:ilvl w:val="0"/>
          <w:numId w:val="9"/>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Образец задания.</w:t>
      </w:r>
    </w:p>
    <w:p w14:paraId="1686C283" w14:textId="77777777" w:rsidR="0051713F" w:rsidRPr="00985111" w:rsidRDefault="0051713F" w:rsidP="0051713F">
      <w:pPr>
        <w:suppressAutoHyphens/>
        <w:spacing w:line="276" w:lineRule="auto"/>
        <w:contextualSpacing/>
        <w:jc w:val="center"/>
        <w:rPr>
          <w:rFonts w:ascii="Times New Roman" w:eastAsia="Times New Roman" w:hAnsi="Times New Roman" w:cs="Times New Roman"/>
          <w:b/>
          <w:bCs/>
          <w:color w:val="000000"/>
          <w:sz w:val="24"/>
          <w:szCs w:val="24"/>
          <w:shd w:val="clear" w:color="auto" w:fill="FFFFFF"/>
          <w:lang w:eastAsia="zh-CN"/>
        </w:rPr>
      </w:pPr>
    </w:p>
    <w:p w14:paraId="4AE0CD58" w14:textId="77777777" w:rsidR="0051713F" w:rsidRPr="00985111" w:rsidRDefault="0051713F" w:rsidP="009644CA">
      <w:pPr>
        <w:numPr>
          <w:ilvl w:val="0"/>
          <w:numId w:val="7"/>
        </w:numPr>
        <w:suppressAutoHyphens/>
        <w:spacing w:after="200" w:line="276" w:lineRule="auto"/>
        <w:ind w:left="0" w:firstLine="0"/>
        <w:jc w:val="center"/>
        <w:rPr>
          <w:rFonts w:ascii="Times New Roman" w:eastAsia="Times New Roman" w:hAnsi="Times New Roman" w:cs="Times New Roman"/>
          <w:b/>
          <w:bCs/>
          <w:color w:val="000000"/>
          <w:sz w:val="24"/>
          <w:szCs w:val="24"/>
          <w:shd w:val="clear" w:color="auto" w:fill="FFFFFF"/>
          <w:lang w:eastAsia="zh-CN"/>
        </w:rPr>
      </w:pPr>
      <w:r w:rsidRPr="00985111">
        <w:rPr>
          <w:rFonts w:ascii="Times New Roman" w:eastAsia="Times New Roman" w:hAnsi="Times New Roman" w:cs="Times New Roman"/>
          <w:b/>
          <w:bCs/>
          <w:color w:val="000000"/>
          <w:sz w:val="24"/>
          <w:szCs w:val="24"/>
          <w:shd w:val="clear" w:color="auto" w:fill="FFFFFF"/>
          <w:lang w:eastAsia="zh-CN"/>
        </w:rPr>
        <w:t xml:space="preserve">КОМПЛЕКС ТРЕБОВАНИЙ И РЕКОМЕНДАЦИЙ </w:t>
      </w:r>
      <w:r w:rsidRPr="00985111">
        <w:rPr>
          <w:rFonts w:ascii="Times New Roman" w:eastAsia="Times New Roman" w:hAnsi="Times New Roman" w:cs="Times New Roman"/>
          <w:b/>
          <w:bCs/>
          <w:color w:val="000000"/>
          <w:sz w:val="24"/>
          <w:szCs w:val="24"/>
          <w:shd w:val="clear" w:color="auto" w:fill="FFFFFF"/>
          <w:lang w:eastAsia="zh-CN"/>
        </w:rPr>
        <w:br/>
        <w:t>ДЛЯ ПРОВЕДЕНИЯ ДЕМОНСТРАЦИОННОГО ЭКЗАМЕНА ПРОФИЛЬНОГО УРОВНЯ</w:t>
      </w:r>
    </w:p>
    <w:p w14:paraId="2D3273D3" w14:textId="77777777" w:rsidR="0051713F" w:rsidRPr="005F59C7" w:rsidRDefault="0051713F" w:rsidP="0051713F">
      <w:pPr>
        <w:suppressAutoHyphens/>
        <w:spacing w:line="276" w:lineRule="auto"/>
        <w:ind w:firstLine="709"/>
        <w:contextualSpacing/>
        <w:jc w:val="both"/>
        <w:rPr>
          <w:rFonts w:ascii="Times New Roman" w:eastAsia="Times New Roman" w:hAnsi="Times New Roman" w:cs="Times New Roman"/>
          <w:b/>
          <w:bCs/>
          <w:color w:val="000000"/>
          <w:sz w:val="24"/>
          <w:szCs w:val="24"/>
          <w:shd w:val="clear" w:color="auto" w:fill="FFFFFF"/>
          <w:lang w:eastAsia="zh-CN"/>
        </w:rPr>
      </w:pPr>
    </w:p>
    <w:p w14:paraId="03922ABE" w14:textId="77777777" w:rsidR="0051713F" w:rsidRPr="00985111" w:rsidRDefault="0051713F" w:rsidP="009644CA">
      <w:pPr>
        <w:numPr>
          <w:ilvl w:val="1"/>
          <w:numId w:val="7"/>
        </w:numPr>
        <w:suppressAutoHyphens/>
        <w:spacing w:after="200" w:line="276" w:lineRule="auto"/>
        <w:ind w:left="0" w:firstLine="709"/>
        <w:jc w:val="both"/>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Организационные требования</w:t>
      </w:r>
      <w:r w:rsidRPr="00985111">
        <w:rPr>
          <w:rFonts w:ascii="Times New Roman" w:eastAsia="Times New Roman" w:hAnsi="Times New Roman" w:cs="Times New Roman"/>
          <w:b/>
          <w:sz w:val="24"/>
          <w:szCs w:val="24"/>
          <w:vertAlign w:val="superscript"/>
          <w:lang w:val="en-US" w:eastAsia="zh-CN"/>
        </w:rPr>
        <w:footnoteReference w:id="1"/>
      </w:r>
      <w:r w:rsidRPr="00985111">
        <w:rPr>
          <w:rFonts w:ascii="Times New Roman" w:eastAsia="Times New Roman" w:hAnsi="Times New Roman" w:cs="Times New Roman"/>
          <w:b/>
          <w:sz w:val="24"/>
          <w:szCs w:val="24"/>
          <w:lang w:eastAsia="zh-CN"/>
        </w:rPr>
        <w:t>:</w:t>
      </w:r>
    </w:p>
    <w:p w14:paraId="197E5A45"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Демонстрационный экзамен профильного уровня проводится с использованием КОД, включенных образовательными организациями в программу ГИА.</w:t>
      </w:r>
    </w:p>
    <w:p w14:paraId="1F59D918"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Задания демонстрационного экзамена доводятся до главного эксперта в день, предшествующий дню начала демонстрационного экзамена.</w:t>
      </w:r>
    </w:p>
    <w:p w14:paraId="54EA20E5"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Образовательная организация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14:paraId="34FCCD5B"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Демонстрационный экзамен проводится в ЦПДЭ, представляющем собой площадку, оборудованную и оснащенную в соответствии с КОД.</w:t>
      </w:r>
    </w:p>
    <w:p w14:paraId="615EDF91" w14:textId="4779380E"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ЦПДЭ может располагаться на территории образовательной организации, </w:t>
      </w:r>
      <w:r w:rsidR="00985111">
        <w:rPr>
          <w:rFonts w:ascii="Times New Roman" w:eastAsia="Times New Roman" w:hAnsi="Times New Roman" w:cs="Times New Roman"/>
          <w:sz w:val="24"/>
          <w:szCs w:val="24"/>
          <w:lang w:eastAsia="zh-CN"/>
        </w:rPr>
        <w:br/>
      </w:r>
      <w:r w:rsidRPr="00985111">
        <w:rPr>
          <w:rFonts w:ascii="Times New Roman" w:eastAsia="Times New Roman" w:hAnsi="Times New Roman" w:cs="Times New Roman"/>
          <w:sz w:val="24"/>
          <w:szCs w:val="24"/>
          <w:lang w:eastAsia="zh-CN"/>
        </w:rPr>
        <w:t>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14:paraId="0FB3B0C5"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Выпускники проходят демонстрационный экзамен в ЦПДЭ в составе экзаменационных групп.</w:t>
      </w:r>
    </w:p>
    <w:p w14:paraId="7B91290A"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Образовательная организация знакомит с планом проведения демонстрационного экзамена выпускников, сдающих демонстрационный экзамен, и лиц, </w:t>
      </w:r>
      <w:r w:rsidRPr="00985111">
        <w:rPr>
          <w:rFonts w:ascii="Times New Roman" w:eastAsia="Times New Roman" w:hAnsi="Times New Roman" w:cs="Times New Roman"/>
          <w:sz w:val="24"/>
          <w:szCs w:val="24"/>
          <w:lang w:eastAsia="zh-CN"/>
        </w:rPr>
        <w:lastRenderedPageBreak/>
        <w:t>обеспечивающих проведение демонстрационного экзамена, в срок не позднее чем за 5 (пять) рабочих дней до даты проведения экзамена.</w:t>
      </w:r>
    </w:p>
    <w:p w14:paraId="0AE05CAC"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Количество, общая площадь и состояние помещений, предоставляемых </w:t>
      </w:r>
      <w:r w:rsidRPr="00985111">
        <w:rPr>
          <w:rFonts w:ascii="Times New Roman" w:eastAsia="Times New Roman" w:hAnsi="Times New Roman" w:cs="Times New Roman"/>
          <w:sz w:val="24"/>
          <w:szCs w:val="24"/>
          <w:lang w:eastAsia="zh-CN"/>
        </w:rPr>
        <w:br/>
        <w:t>для проведения демонстрационного экзамена, должны обеспечивать проведение демонстрационного экзамена в соответствии с КОД.</w:t>
      </w:r>
    </w:p>
    <w:p w14:paraId="5C4FE5A9"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 выпускников, а также технического эксперта, назначаемого организацией, на территории которой расположен ЦПДЭ, ответственного за соблюдение установленных норм и правил охраны труда и техники безопасности.</w:t>
      </w:r>
    </w:p>
    <w:p w14:paraId="002A6090"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Главным экспертом осуществляется осмотр ЦПДЭ,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74C71175"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ЦПДЭ. Факт ознакомления отражается главным экспертом в протоколе распределения рабочих мест.</w:t>
      </w:r>
    </w:p>
    <w:p w14:paraId="13F5A899"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Допуск выпускников в ЦПДЭ осуществляется главным экспертом на основании документов, удостоверяющих личность.</w:t>
      </w:r>
    </w:p>
    <w:p w14:paraId="5251B771" w14:textId="77777777" w:rsidR="0051713F" w:rsidRPr="00985111" w:rsidRDefault="0051713F" w:rsidP="009644CA">
      <w:pPr>
        <w:numPr>
          <w:ilvl w:val="0"/>
          <w:numId w:val="10"/>
        </w:numPr>
        <w:suppressAutoHyphens/>
        <w:spacing w:after="200" w:line="276" w:lineRule="auto"/>
        <w:ind w:left="0"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Образовательная организация обязана не позднее чем за один рабочий день </w:t>
      </w:r>
      <w:r w:rsidRPr="00985111">
        <w:rPr>
          <w:rFonts w:ascii="Times New Roman" w:eastAsia="Times New Roman" w:hAnsi="Times New Roman" w:cs="Times New Roman"/>
          <w:sz w:val="24"/>
          <w:szCs w:val="24"/>
          <w:lang w:eastAsia="zh-CN"/>
        </w:rPr>
        <w:br/>
        <w:t xml:space="preserve">до дня проведения демонстрационного экзамена уведомить главного эксперта об участии </w:t>
      </w:r>
      <w:r w:rsidRPr="00985111">
        <w:rPr>
          <w:rFonts w:ascii="Times New Roman" w:eastAsia="Times New Roman" w:hAnsi="Times New Roman" w:cs="Times New Roman"/>
          <w:sz w:val="24"/>
          <w:szCs w:val="24"/>
          <w:lang w:eastAsia="zh-CN"/>
        </w:rPr>
        <w:br/>
        <w:t>в проведении демонстрационного экзамена тьютора (ассистента).</w:t>
      </w:r>
    </w:p>
    <w:p w14:paraId="23F75D4B" w14:textId="77777777" w:rsidR="0051713F" w:rsidRPr="00985111" w:rsidRDefault="0051713F" w:rsidP="0051713F">
      <w:pPr>
        <w:spacing w:line="276" w:lineRule="auto"/>
        <w:ind w:left="709"/>
        <w:contextualSpacing/>
        <w:jc w:val="both"/>
        <w:rPr>
          <w:rFonts w:ascii="Times New Roman" w:eastAsia="Times New Roman" w:hAnsi="Times New Roman" w:cs="Times New Roman"/>
          <w:sz w:val="24"/>
          <w:szCs w:val="24"/>
          <w:highlight w:val="lightGray"/>
          <w:lang w:eastAsia="zh-CN"/>
        </w:rPr>
      </w:pPr>
    </w:p>
    <w:p w14:paraId="63C2C7A8" w14:textId="77777777" w:rsidR="0051713F" w:rsidRPr="00985111" w:rsidRDefault="0051713F" w:rsidP="009644CA">
      <w:pPr>
        <w:numPr>
          <w:ilvl w:val="1"/>
          <w:numId w:val="7"/>
        </w:numPr>
        <w:suppressAutoHyphens/>
        <w:spacing w:after="200" w:line="276" w:lineRule="auto"/>
        <w:ind w:left="0" w:firstLine="709"/>
        <w:contextualSpacing/>
        <w:jc w:val="both"/>
        <w:rPr>
          <w:rFonts w:ascii="Times New Roman" w:eastAsia="Times New Roman" w:hAnsi="Times New Roman" w:cs="Times New Roman"/>
          <w:b/>
          <w:sz w:val="24"/>
          <w:szCs w:val="24"/>
          <w:lang w:val="en-US" w:eastAsia="zh-CN"/>
        </w:rPr>
      </w:pPr>
      <w:r w:rsidRPr="00985111">
        <w:rPr>
          <w:rFonts w:ascii="Times New Roman" w:eastAsia="Times New Roman" w:hAnsi="Times New Roman" w:cs="Times New Roman"/>
          <w:b/>
          <w:sz w:val="24"/>
          <w:szCs w:val="24"/>
          <w:lang w:eastAsia="zh-CN"/>
        </w:rPr>
        <w:t>Рекомендуемое содержание</w:t>
      </w:r>
      <w:r w:rsidRPr="00985111">
        <w:rPr>
          <w:rFonts w:ascii="Times New Roman" w:eastAsia="Times New Roman" w:hAnsi="Times New Roman" w:cs="Times New Roman"/>
          <w:b/>
          <w:sz w:val="24"/>
          <w:szCs w:val="24"/>
          <w:lang w:val="en-US" w:eastAsia="zh-CN"/>
        </w:rPr>
        <w:t xml:space="preserve"> КОД</w:t>
      </w:r>
    </w:p>
    <w:p w14:paraId="427267D3" w14:textId="77777777" w:rsidR="0051713F" w:rsidRPr="00985111" w:rsidRDefault="0051713F" w:rsidP="0051713F">
      <w:pPr>
        <w:suppressAutoHyphens/>
        <w:contextualSpacing/>
        <w:jc w:val="center"/>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Компетенции, рекомендуемые для включения в содержание КОД</w:t>
      </w:r>
    </w:p>
    <w:p w14:paraId="3A05E3CB" w14:textId="55D5803B" w:rsidR="0051713F" w:rsidRDefault="0051713F" w:rsidP="0051713F">
      <w:pPr>
        <w:suppressAutoHyphens/>
        <w:contextualSpacing/>
        <w:jc w:val="center"/>
        <w:rPr>
          <w:rFonts w:ascii="Times New Roman" w:eastAsia="Times New Roman" w:hAnsi="Times New Roman" w:cs="Times New Roman"/>
          <w:b/>
          <w:sz w:val="24"/>
          <w:szCs w:val="24"/>
          <w:lang w:eastAsia="zh-CN"/>
        </w:rPr>
      </w:pPr>
    </w:p>
    <w:p w14:paraId="7AA528E1" w14:textId="77777777" w:rsidR="004333D9" w:rsidRPr="005F59C7" w:rsidRDefault="004333D9" w:rsidP="0051713F">
      <w:pPr>
        <w:suppressAutoHyphens/>
        <w:contextualSpacing/>
        <w:jc w:val="center"/>
        <w:rPr>
          <w:rFonts w:ascii="Times New Roman" w:eastAsia="Times New Roman" w:hAnsi="Times New Roman" w:cs="Times New Roman"/>
          <w:b/>
          <w:sz w:val="24"/>
          <w:szCs w:val="24"/>
          <w:lang w:eastAsia="zh-CN"/>
        </w:rPr>
      </w:pPr>
    </w:p>
    <w:tbl>
      <w:tblPr>
        <w:tblpPr w:leftFromText="180" w:rightFromText="180" w:vertAnchor="text" w:tblpX="-289" w:tblpY="1"/>
        <w:tblOverlap w:val="never"/>
        <w:tblW w:w="9923" w:type="dxa"/>
        <w:tblLayout w:type="fixed"/>
        <w:tblCellMar>
          <w:left w:w="5" w:type="dxa"/>
          <w:right w:w="5" w:type="dxa"/>
        </w:tblCellMar>
        <w:tblLook w:val="0000" w:firstRow="0" w:lastRow="0" w:firstColumn="0" w:lastColumn="0" w:noHBand="0" w:noVBand="0"/>
      </w:tblPr>
      <w:tblGrid>
        <w:gridCol w:w="3307"/>
        <w:gridCol w:w="3308"/>
        <w:gridCol w:w="3308"/>
      </w:tblGrid>
      <w:tr w:rsidR="00D603AF" w:rsidRPr="00C87149" w14:paraId="1DB110C2" w14:textId="77777777" w:rsidTr="00080C48">
        <w:trPr>
          <w:trHeight w:val="20"/>
        </w:trPr>
        <w:tc>
          <w:tcPr>
            <w:tcW w:w="3307" w:type="dxa"/>
            <w:tcBorders>
              <w:top w:val="single" w:sz="4" w:space="0" w:color="000000"/>
              <w:left w:val="single" w:sz="4" w:space="0" w:color="000000"/>
              <w:bottom w:val="single" w:sz="4" w:space="0" w:color="000000"/>
              <w:right w:val="single" w:sz="4" w:space="0" w:color="000000"/>
            </w:tcBorders>
          </w:tcPr>
          <w:p w14:paraId="41FD8035" w14:textId="77777777" w:rsidR="00D603AF" w:rsidRPr="00C87149" w:rsidRDefault="00D603AF" w:rsidP="00550F77">
            <w:pPr>
              <w:suppressAutoHyphens/>
              <w:jc w:val="center"/>
              <w:rPr>
                <w:rFonts w:ascii="Times New Roman" w:eastAsia="Times New Roman" w:hAnsi="Times New Roman" w:cs="Times New Roman"/>
                <w:b/>
                <w:color w:val="000000"/>
                <w:sz w:val="24"/>
                <w:szCs w:val="24"/>
                <w:lang w:eastAsia="zh-CN"/>
              </w:rPr>
            </w:pPr>
            <w:r w:rsidRPr="00C87149">
              <w:rPr>
                <w:rFonts w:ascii="Times New Roman" w:eastAsia="Times New Roman" w:hAnsi="Times New Roman" w:cs="Times New Roman"/>
                <w:b/>
                <w:color w:val="000000"/>
                <w:sz w:val="24"/>
                <w:szCs w:val="24"/>
                <w:lang w:eastAsia="zh-CN"/>
              </w:rPr>
              <w:t xml:space="preserve">Код и наименование </w:t>
            </w:r>
          </w:p>
          <w:p w14:paraId="352C3D02" w14:textId="77777777" w:rsidR="00D603AF" w:rsidRPr="00C87149" w:rsidRDefault="00D603AF" w:rsidP="00550F77">
            <w:pPr>
              <w:suppressAutoHyphens/>
              <w:jc w:val="center"/>
              <w:rPr>
                <w:rFonts w:ascii="Times New Roman" w:eastAsia="Times New Roman" w:hAnsi="Times New Roman" w:cs="Times New Roman"/>
                <w:color w:val="000000"/>
                <w:sz w:val="24"/>
                <w:szCs w:val="24"/>
                <w:lang w:eastAsia="zh-CN"/>
              </w:rPr>
            </w:pPr>
            <w:r w:rsidRPr="00C87149">
              <w:rPr>
                <w:rFonts w:ascii="Times New Roman" w:eastAsia="Times New Roman" w:hAnsi="Times New Roman" w:cs="Times New Roman"/>
                <w:b/>
                <w:color w:val="000000"/>
                <w:sz w:val="24"/>
                <w:szCs w:val="24"/>
                <w:lang w:eastAsia="zh-CN"/>
              </w:rPr>
              <w:t>вида деятельности</w:t>
            </w:r>
          </w:p>
        </w:tc>
        <w:tc>
          <w:tcPr>
            <w:tcW w:w="3308" w:type="dxa"/>
            <w:tcBorders>
              <w:top w:val="single" w:sz="4" w:space="0" w:color="000000"/>
              <w:left w:val="single" w:sz="4" w:space="0" w:color="000000"/>
              <w:bottom w:val="single" w:sz="4" w:space="0" w:color="000000"/>
              <w:right w:val="single" w:sz="4" w:space="0" w:color="000000"/>
            </w:tcBorders>
          </w:tcPr>
          <w:p w14:paraId="7D2D41B3" w14:textId="77777777" w:rsidR="00D603AF" w:rsidRPr="00C87149" w:rsidRDefault="00D603AF" w:rsidP="00550F77">
            <w:pPr>
              <w:suppressAutoHyphens/>
              <w:jc w:val="center"/>
              <w:rPr>
                <w:rFonts w:ascii="Times New Roman" w:eastAsia="Times New Roman" w:hAnsi="Times New Roman" w:cs="Times New Roman"/>
                <w:b/>
                <w:bCs/>
                <w:color w:val="000000"/>
                <w:sz w:val="24"/>
                <w:szCs w:val="24"/>
                <w:lang w:eastAsia="zh-CN"/>
              </w:rPr>
            </w:pPr>
            <w:r w:rsidRPr="00C87149">
              <w:rPr>
                <w:rFonts w:ascii="Times New Roman" w:eastAsia="Times New Roman" w:hAnsi="Times New Roman" w:cs="Times New Roman"/>
                <w:b/>
                <w:bCs/>
                <w:color w:val="000000"/>
                <w:sz w:val="24"/>
                <w:szCs w:val="24"/>
                <w:lang w:eastAsia="zh-CN"/>
              </w:rPr>
              <w:t xml:space="preserve">Код и наименование </w:t>
            </w:r>
          </w:p>
          <w:p w14:paraId="4C3E7746" w14:textId="77777777" w:rsidR="00D603AF" w:rsidRPr="00C87149" w:rsidRDefault="00D603AF" w:rsidP="00550F77">
            <w:pPr>
              <w:suppressAutoHyphens/>
              <w:jc w:val="center"/>
              <w:rPr>
                <w:rFonts w:ascii="Times New Roman" w:eastAsia="Times New Roman" w:hAnsi="Times New Roman" w:cs="Times New Roman"/>
                <w:b/>
                <w:bCs/>
                <w:color w:val="000000"/>
                <w:sz w:val="24"/>
                <w:szCs w:val="24"/>
                <w:lang w:eastAsia="zh-CN"/>
              </w:rPr>
            </w:pPr>
            <w:r w:rsidRPr="00C87149">
              <w:rPr>
                <w:rFonts w:ascii="Times New Roman" w:eastAsia="Times New Roman" w:hAnsi="Times New Roman" w:cs="Times New Roman"/>
                <w:b/>
                <w:bCs/>
                <w:color w:val="000000"/>
                <w:sz w:val="24"/>
                <w:szCs w:val="24"/>
                <w:lang w:eastAsia="zh-CN"/>
              </w:rPr>
              <w:t xml:space="preserve">профессионального модуля, </w:t>
            </w:r>
          </w:p>
          <w:p w14:paraId="13728D07" w14:textId="77777777" w:rsidR="00D603AF" w:rsidRPr="00C87149" w:rsidRDefault="00D603AF" w:rsidP="00550F77">
            <w:pPr>
              <w:suppressAutoHyphens/>
              <w:jc w:val="center"/>
              <w:rPr>
                <w:rFonts w:ascii="Times New Roman" w:eastAsia="Times New Roman" w:hAnsi="Times New Roman" w:cs="Times New Roman"/>
                <w:b/>
                <w:bCs/>
                <w:color w:val="000000"/>
                <w:sz w:val="24"/>
                <w:szCs w:val="24"/>
                <w:lang w:eastAsia="zh-CN"/>
              </w:rPr>
            </w:pPr>
            <w:r w:rsidRPr="00C87149">
              <w:rPr>
                <w:rFonts w:ascii="Times New Roman" w:eastAsia="Times New Roman" w:hAnsi="Times New Roman" w:cs="Times New Roman"/>
                <w:b/>
                <w:bCs/>
                <w:color w:val="000000"/>
                <w:sz w:val="24"/>
                <w:szCs w:val="24"/>
                <w:lang w:eastAsia="zh-CN"/>
              </w:rPr>
              <w:t>в рамках которого осваивается ВД</w:t>
            </w:r>
          </w:p>
        </w:tc>
        <w:tc>
          <w:tcPr>
            <w:tcW w:w="3308" w:type="dxa"/>
            <w:tcBorders>
              <w:top w:val="single" w:sz="4" w:space="0" w:color="000000"/>
              <w:left w:val="single" w:sz="4" w:space="0" w:color="000000"/>
              <w:bottom w:val="single" w:sz="4" w:space="0" w:color="000000"/>
              <w:right w:val="single" w:sz="4" w:space="0" w:color="000000"/>
            </w:tcBorders>
          </w:tcPr>
          <w:p w14:paraId="2C98FBCB" w14:textId="77777777" w:rsidR="00D603AF" w:rsidRPr="00C87149" w:rsidRDefault="00D603AF" w:rsidP="00550F77">
            <w:pPr>
              <w:suppressAutoHyphens/>
              <w:jc w:val="center"/>
              <w:rPr>
                <w:rFonts w:ascii="Times New Roman" w:eastAsia="Times New Roman" w:hAnsi="Times New Roman" w:cs="Times New Roman"/>
                <w:b/>
                <w:color w:val="000000"/>
                <w:sz w:val="24"/>
                <w:szCs w:val="24"/>
                <w:lang w:eastAsia="zh-CN"/>
              </w:rPr>
            </w:pPr>
            <w:r w:rsidRPr="00C87149">
              <w:rPr>
                <w:rFonts w:ascii="Times New Roman" w:eastAsia="Times New Roman" w:hAnsi="Times New Roman" w:cs="Times New Roman"/>
                <w:b/>
                <w:color w:val="000000"/>
                <w:sz w:val="24"/>
                <w:szCs w:val="24"/>
                <w:lang w:eastAsia="zh-CN"/>
              </w:rPr>
              <w:t xml:space="preserve">Перечень оцениваемых </w:t>
            </w:r>
          </w:p>
          <w:p w14:paraId="040061B5" w14:textId="77777777" w:rsidR="00D603AF" w:rsidRPr="00C87149" w:rsidRDefault="00D603AF" w:rsidP="00550F77">
            <w:pPr>
              <w:suppressAutoHyphens/>
              <w:jc w:val="center"/>
              <w:rPr>
                <w:rFonts w:ascii="Times New Roman" w:eastAsia="Times New Roman" w:hAnsi="Times New Roman" w:cs="Times New Roman"/>
                <w:b/>
                <w:bCs/>
                <w:color w:val="000000"/>
                <w:sz w:val="24"/>
                <w:szCs w:val="24"/>
                <w:lang w:eastAsia="zh-CN"/>
              </w:rPr>
            </w:pPr>
            <w:r w:rsidRPr="00C87149">
              <w:rPr>
                <w:rFonts w:ascii="Times New Roman" w:eastAsia="Times New Roman" w:hAnsi="Times New Roman" w:cs="Times New Roman"/>
                <w:b/>
                <w:color w:val="000000"/>
                <w:sz w:val="24"/>
                <w:szCs w:val="24"/>
                <w:lang w:eastAsia="zh-CN"/>
              </w:rPr>
              <w:t xml:space="preserve">ПК </w:t>
            </w:r>
          </w:p>
        </w:tc>
      </w:tr>
      <w:tr w:rsidR="00D603AF" w:rsidRPr="00C87149" w14:paraId="25C7BF6F" w14:textId="77777777" w:rsidTr="00080C48">
        <w:trPr>
          <w:trHeight w:val="20"/>
        </w:trPr>
        <w:tc>
          <w:tcPr>
            <w:tcW w:w="9923" w:type="dxa"/>
            <w:gridSpan w:val="3"/>
            <w:tcBorders>
              <w:top w:val="single" w:sz="4" w:space="0" w:color="000000"/>
              <w:left w:val="single" w:sz="4" w:space="0" w:color="000000"/>
              <w:bottom w:val="single" w:sz="4" w:space="0" w:color="000000"/>
              <w:right w:val="single" w:sz="4" w:space="0" w:color="000000"/>
            </w:tcBorders>
          </w:tcPr>
          <w:p w14:paraId="2CDC9834" w14:textId="77777777" w:rsidR="00D603AF" w:rsidRPr="00C87149" w:rsidRDefault="00D603AF" w:rsidP="00550F77">
            <w:pPr>
              <w:suppressAutoHyphens/>
              <w:jc w:val="center"/>
              <w:rPr>
                <w:rFonts w:ascii="Times New Roman" w:eastAsia="Times New Roman" w:hAnsi="Times New Roman" w:cs="Times New Roman"/>
                <w:b/>
                <w:color w:val="000000"/>
                <w:sz w:val="24"/>
                <w:szCs w:val="24"/>
                <w:lang w:eastAsia="zh-CN"/>
              </w:rPr>
            </w:pPr>
            <w:r w:rsidRPr="00C87149">
              <w:rPr>
                <w:rFonts w:ascii="Times New Roman" w:eastAsia="Times New Roman" w:hAnsi="Times New Roman" w:cs="Times New Roman"/>
                <w:b/>
                <w:color w:val="000000"/>
                <w:sz w:val="24"/>
                <w:szCs w:val="24"/>
                <w:lang w:eastAsia="zh-CN"/>
              </w:rPr>
              <w:t>В соответствии с ФГОС СПО</w:t>
            </w:r>
          </w:p>
        </w:tc>
      </w:tr>
      <w:tr w:rsidR="00D603AF" w:rsidRPr="00C87149" w14:paraId="3F8B8EE8" w14:textId="77777777" w:rsidTr="00080C48">
        <w:trPr>
          <w:trHeight w:val="20"/>
        </w:trPr>
        <w:tc>
          <w:tcPr>
            <w:tcW w:w="3307" w:type="dxa"/>
            <w:vMerge w:val="restart"/>
            <w:tcBorders>
              <w:top w:val="single" w:sz="4" w:space="0" w:color="000000"/>
              <w:left w:val="single" w:sz="4" w:space="0" w:color="000000"/>
              <w:right w:val="single" w:sz="4" w:space="0" w:color="000000"/>
            </w:tcBorders>
          </w:tcPr>
          <w:p w14:paraId="5016294D" w14:textId="2342ADDF" w:rsidR="004333D9" w:rsidRPr="004333D9" w:rsidRDefault="00D603AF" w:rsidP="004333D9">
            <w:pPr>
              <w:autoSpaceDE w:val="0"/>
              <w:autoSpaceDN w:val="0"/>
              <w:adjustRightInd w:val="0"/>
              <w:rPr>
                <w:rFonts w:ascii="Times New Roman" w:hAnsi="Times New Roman" w:cs="Times New Roman"/>
                <w:sz w:val="24"/>
                <w:szCs w:val="24"/>
              </w:rPr>
            </w:pPr>
            <w:r w:rsidRPr="004333D9">
              <w:rPr>
                <w:rFonts w:ascii="Times New Roman" w:eastAsia="Times New Roman" w:hAnsi="Times New Roman" w:cs="Times New Roman"/>
                <w:sz w:val="24"/>
                <w:szCs w:val="24"/>
                <w:lang w:eastAsia="zh-CN"/>
              </w:rPr>
              <w:t xml:space="preserve">ВД.01 </w:t>
            </w:r>
            <w:r w:rsidR="004333D9" w:rsidRPr="004333D9">
              <w:rPr>
                <w:rFonts w:ascii="Times New Roman" w:hAnsi="Times New Roman" w:cs="Times New Roman"/>
                <w:sz w:val="24"/>
                <w:szCs w:val="24"/>
              </w:rPr>
              <w:t>Ведение расчетных операций</w:t>
            </w:r>
          </w:p>
          <w:p w14:paraId="7B07D62B" w14:textId="7D3B50FA" w:rsidR="00D603AF" w:rsidRPr="004333D9" w:rsidRDefault="00D603AF" w:rsidP="004333D9">
            <w:pPr>
              <w:suppressAutoHyphens/>
              <w:rPr>
                <w:rFonts w:ascii="Times New Roman" w:eastAsia="Times New Roman" w:hAnsi="Times New Roman" w:cs="Times New Roman"/>
                <w:i/>
                <w:iCs/>
                <w:color w:val="000000"/>
                <w:sz w:val="24"/>
                <w:szCs w:val="24"/>
                <w:lang w:eastAsia="zh-CN"/>
              </w:rPr>
            </w:pPr>
          </w:p>
        </w:tc>
        <w:tc>
          <w:tcPr>
            <w:tcW w:w="3308" w:type="dxa"/>
            <w:vMerge w:val="restart"/>
            <w:tcBorders>
              <w:top w:val="single" w:sz="4" w:space="0" w:color="000000"/>
              <w:left w:val="single" w:sz="4" w:space="0" w:color="000000"/>
              <w:right w:val="single" w:sz="4" w:space="0" w:color="000000"/>
            </w:tcBorders>
          </w:tcPr>
          <w:p w14:paraId="10B8873A" w14:textId="50150EB7" w:rsidR="004333D9" w:rsidRPr="004333D9" w:rsidRDefault="00D603AF" w:rsidP="004333D9">
            <w:pPr>
              <w:autoSpaceDE w:val="0"/>
              <w:autoSpaceDN w:val="0"/>
              <w:adjustRightInd w:val="0"/>
              <w:rPr>
                <w:rFonts w:ascii="Times New Roman" w:hAnsi="Times New Roman" w:cs="Times New Roman"/>
                <w:sz w:val="24"/>
                <w:szCs w:val="24"/>
              </w:rPr>
            </w:pPr>
            <w:r w:rsidRPr="004333D9">
              <w:rPr>
                <w:rFonts w:ascii="Times New Roman" w:eastAsia="Times New Roman" w:hAnsi="Times New Roman" w:cs="Times New Roman"/>
                <w:sz w:val="24"/>
                <w:szCs w:val="24"/>
                <w:lang w:eastAsia="zh-CN"/>
              </w:rPr>
              <w:t xml:space="preserve">ПМ.01 </w:t>
            </w:r>
            <w:r w:rsidR="004333D9" w:rsidRPr="004333D9">
              <w:rPr>
                <w:rFonts w:ascii="Times New Roman" w:hAnsi="Times New Roman" w:cs="Times New Roman"/>
                <w:sz w:val="24"/>
                <w:szCs w:val="24"/>
              </w:rPr>
              <w:t>Ведение расчетных операций</w:t>
            </w:r>
          </w:p>
          <w:p w14:paraId="76B02F72" w14:textId="122888E0" w:rsidR="00D603AF" w:rsidRPr="004333D9" w:rsidRDefault="00D603A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000000"/>
              <w:left w:val="single" w:sz="4" w:space="0" w:color="000000"/>
              <w:bottom w:val="single" w:sz="4" w:space="0" w:color="auto"/>
              <w:right w:val="single" w:sz="4" w:space="0" w:color="000000"/>
            </w:tcBorders>
          </w:tcPr>
          <w:p w14:paraId="6019241E" w14:textId="49B3E791" w:rsidR="00D603AF" w:rsidRPr="00FC34CF" w:rsidRDefault="00D603AF" w:rsidP="004333D9">
            <w:pPr>
              <w:autoSpaceDE w:val="0"/>
              <w:autoSpaceDN w:val="0"/>
              <w:adjustRightInd w:val="0"/>
              <w:rPr>
                <w:rFonts w:ascii="Times New Roman" w:hAnsi="Times New Roman" w:cs="Times New Roman"/>
                <w:sz w:val="24"/>
                <w:szCs w:val="24"/>
              </w:rPr>
            </w:pPr>
            <w:r w:rsidRPr="00C87149">
              <w:rPr>
                <w:rFonts w:ascii="Times New Roman" w:eastAsia="Times New Roman" w:hAnsi="Times New Roman" w:cs="Times New Roman"/>
                <w:sz w:val="24"/>
                <w:szCs w:val="24"/>
                <w:lang w:eastAsia="zh-CN"/>
              </w:rPr>
              <w:t>ПК 1.1.</w:t>
            </w:r>
            <w:r w:rsidR="00354E33">
              <w:rPr>
                <w:rFonts w:ascii="Times New Roman" w:eastAsia="Times New Roman" w:hAnsi="Times New Roman" w:cs="Times New Roman"/>
                <w:sz w:val="24"/>
                <w:szCs w:val="24"/>
                <w:lang w:eastAsia="zh-CN"/>
              </w:rPr>
              <w:t xml:space="preserve"> </w:t>
            </w:r>
            <w:r w:rsidR="004333D9">
              <w:rPr>
                <w:rFonts w:ascii="Times New Roman" w:hAnsi="Times New Roman" w:cs="Times New Roman"/>
                <w:sz w:val="24"/>
                <w:szCs w:val="24"/>
              </w:rPr>
              <w:t>Осуществлять расчетно-кассовое обслуживание клиентов;</w:t>
            </w:r>
          </w:p>
        </w:tc>
      </w:tr>
      <w:tr w:rsidR="00D603AF" w:rsidRPr="00C87149" w14:paraId="1687C043" w14:textId="77777777" w:rsidTr="00080C48">
        <w:trPr>
          <w:trHeight w:val="20"/>
        </w:trPr>
        <w:tc>
          <w:tcPr>
            <w:tcW w:w="3307" w:type="dxa"/>
            <w:vMerge/>
            <w:tcBorders>
              <w:left w:val="single" w:sz="4" w:space="0" w:color="000000"/>
              <w:right w:val="single" w:sz="4" w:space="0" w:color="000000"/>
            </w:tcBorders>
          </w:tcPr>
          <w:p w14:paraId="67F6255B"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000000"/>
              <w:right w:val="single" w:sz="4" w:space="0" w:color="000000"/>
            </w:tcBorders>
          </w:tcPr>
          <w:p w14:paraId="69041469"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000000"/>
              <w:bottom w:val="single" w:sz="4" w:space="0" w:color="auto"/>
              <w:right w:val="single" w:sz="4" w:space="0" w:color="auto"/>
            </w:tcBorders>
          </w:tcPr>
          <w:p w14:paraId="5C8FDFC0" w14:textId="4BB87319" w:rsidR="00D603AF" w:rsidRPr="00FC34CF" w:rsidRDefault="00D603AF" w:rsidP="004333D9">
            <w:pPr>
              <w:autoSpaceDE w:val="0"/>
              <w:autoSpaceDN w:val="0"/>
              <w:adjustRightInd w:val="0"/>
              <w:rPr>
                <w:rFonts w:ascii="Times New Roman" w:hAnsi="Times New Roman" w:cs="Times New Roman"/>
                <w:sz w:val="24"/>
                <w:szCs w:val="24"/>
              </w:rPr>
            </w:pPr>
            <w:r w:rsidRPr="00C87149">
              <w:rPr>
                <w:rFonts w:ascii="Times New Roman" w:eastAsia="Times New Roman" w:hAnsi="Times New Roman" w:cs="Times New Roman"/>
                <w:sz w:val="24"/>
                <w:szCs w:val="24"/>
                <w:lang w:eastAsia="zh-CN"/>
              </w:rPr>
              <w:t>ПК 1.2.</w:t>
            </w:r>
            <w:r w:rsidR="00354E33">
              <w:rPr>
                <w:rFonts w:ascii="Times New Roman" w:eastAsia="Times New Roman" w:hAnsi="Times New Roman" w:cs="Times New Roman"/>
                <w:sz w:val="24"/>
                <w:szCs w:val="24"/>
                <w:lang w:eastAsia="zh-CN"/>
              </w:rPr>
              <w:t xml:space="preserve"> </w:t>
            </w:r>
            <w:r w:rsidR="004333D9">
              <w:rPr>
                <w:rFonts w:ascii="Times New Roman" w:hAnsi="Times New Roman" w:cs="Times New Roman"/>
                <w:sz w:val="24"/>
                <w:szCs w:val="24"/>
              </w:rPr>
              <w:t>Осуществлять безналичные платежи с использованием различных форм расчетов в национальной и иностранной валютах;</w:t>
            </w:r>
            <w:r w:rsidR="00FC34CF">
              <w:rPr>
                <w:rFonts w:ascii="Times New Roman" w:hAnsi="Times New Roman" w:cs="Times New Roman"/>
                <w:sz w:val="24"/>
                <w:szCs w:val="24"/>
              </w:rPr>
              <w:t>.</w:t>
            </w:r>
          </w:p>
        </w:tc>
      </w:tr>
      <w:tr w:rsidR="00D603AF" w:rsidRPr="00C87149" w14:paraId="1EAAD30C" w14:textId="77777777" w:rsidTr="00080C48">
        <w:trPr>
          <w:trHeight w:val="20"/>
        </w:trPr>
        <w:tc>
          <w:tcPr>
            <w:tcW w:w="3307" w:type="dxa"/>
            <w:vMerge/>
            <w:tcBorders>
              <w:left w:val="single" w:sz="4" w:space="0" w:color="000000"/>
              <w:right w:val="single" w:sz="4" w:space="0" w:color="000000"/>
            </w:tcBorders>
          </w:tcPr>
          <w:p w14:paraId="70E79950"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000000"/>
              <w:right w:val="single" w:sz="4" w:space="0" w:color="000000"/>
            </w:tcBorders>
          </w:tcPr>
          <w:p w14:paraId="7FF17D22"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000000"/>
              <w:bottom w:val="single" w:sz="4" w:space="0" w:color="auto"/>
              <w:right w:val="single" w:sz="4" w:space="0" w:color="auto"/>
            </w:tcBorders>
          </w:tcPr>
          <w:p w14:paraId="6E5A70EB" w14:textId="70A4D9BE" w:rsidR="00D603AF" w:rsidRPr="00FC34CF" w:rsidRDefault="00D603AF" w:rsidP="004333D9">
            <w:pPr>
              <w:autoSpaceDE w:val="0"/>
              <w:autoSpaceDN w:val="0"/>
              <w:adjustRightInd w:val="0"/>
              <w:rPr>
                <w:rFonts w:ascii="Times New Roman" w:hAnsi="Times New Roman" w:cs="Times New Roman"/>
                <w:sz w:val="24"/>
                <w:szCs w:val="24"/>
              </w:rPr>
            </w:pPr>
            <w:r w:rsidRPr="00C87149">
              <w:rPr>
                <w:rFonts w:ascii="Times New Roman" w:eastAsia="Times New Roman" w:hAnsi="Times New Roman" w:cs="Times New Roman"/>
                <w:sz w:val="24"/>
                <w:szCs w:val="24"/>
                <w:lang w:eastAsia="zh-CN"/>
              </w:rPr>
              <w:t xml:space="preserve">ПК 1.3. </w:t>
            </w:r>
            <w:r w:rsidR="004333D9">
              <w:rPr>
                <w:rFonts w:ascii="Times New Roman" w:hAnsi="Times New Roman" w:cs="Times New Roman"/>
                <w:sz w:val="24"/>
                <w:szCs w:val="24"/>
              </w:rPr>
              <w:t>Осуществлять расчетное обслуживание счетов бюджетов различных уровней;</w:t>
            </w:r>
          </w:p>
        </w:tc>
      </w:tr>
      <w:tr w:rsidR="00D603AF" w:rsidRPr="00C87149" w14:paraId="5C0D4FCE" w14:textId="77777777" w:rsidTr="00080C48">
        <w:trPr>
          <w:trHeight w:val="20"/>
        </w:trPr>
        <w:tc>
          <w:tcPr>
            <w:tcW w:w="3307" w:type="dxa"/>
            <w:vMerge/>
            <w:tcBorders>
              <w:left w:val="single" w:sz="4" w:space="0" w:color="000000"/>
              <w:right w:val="single" w:sz="4" w:space="0" w:color="000000"/>
            </w:tcBorders>
          </w:tcPr>
          <w:p w14:paraId="1A6F2796"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000000"/>
              <w:right w:val="single" w:sz="4" w:space="0" w:color="000000"/>
            </w:tcBorders>
          </w:tcPr>
          <w:p w14:paraId="354E701F" w14:textId="77777777" w:rsidR="00D603AF" w:rsidRPr="00C87149" w:rsidRDefault="00D603A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000000"/>
              <w:bottom w:val="single" w:sz="4" w:space="0" w:color="auto"/>
              <w:right w:val="single" w:sz="4" w:space="0" w:color="auto"/>
            </w:tcBorders>
          </w:tcPr>
          <w:p w14:paraId="1D302BCE" w14:textId="3B12AD99" w:rsidR="00D603AF" w:rsidRPr="00FC34CF" w:rsidRDefault="00D603AF" w:rsidP="004333D9">
            <w:pPr>
              <w:autoSpaceDE w:val="0"/>
              <w:autoSpaceDN w:val="0"/>
              <w:adjustRightInd w:val="0"/>
              <w:rPr>
                <w:rFonts w:ascii="Times New Roman" w:hAnsi="Times New Roman" w:cs="Times New Roman"/>
                <w:sz w:val="24"/>
                <w:szCs w:val="24"/>
              </w:rPr>
            </w:pPr>
            <w:r w:rsidRPr="00C87149">
              <w:rPr>
                <w:rFonts w:ascii="Times New Roman" w:eastAsia="Times New Roman" w:hAnsi="Times New Roman" w:cs="Times New Roman"/>
                <w:sz w:val="24"/>
                <w:szCs w:val="24"/>
                <w:lang w:eastAsia="zh-CN"/>
              </w:rPr>
              <w:t xml:space="preserve">ПК 1.4. </w:t>
            </w:r>
            <w:r w:rsidR="004333D9">
              <w:rPr>
                <w:rFonts w:ascii="Times New Roman" w:hAnsi="Times New Roman" w:cs="Times New Roman"/>
                <w:sz w:val="24"/>
                <w:szCs w:val="24"/>
              </w:rPr>
              <w:t>Осуществлять межбанковские расчеты;</w:t>
            </w:r>
          </w:p>
        </w:tc>
      </w:tr>
      <w:tr w:rsidR="00FC34CF" w:rsidRPr="00C87149" w14:paraId="54248863" w14:textId="77777777" w:rsidTr="00080C48">
        <w:trPr>
          <w:trHeight w:val="20"/>
        </w:trPr>
        <w:tc>
          <w:tcPr>
            <w:tcW w:w="3307" w:type="dxa"/>
            <w:tcBorders>
              <w:left w:val="single" w:sz="4" w:space="0" w:color="000000"/>
              <w:right w:val="single" w:sz="4" w:space="0" w:color="000000"/>
            </w:tcBorders>
          </w:tcPr>
          <w:p w14:paraId="3384F5EE" w14:textId="77777777" w:rsidR="00FC34CF" w:rsidRPr="00C87149" w:rsidRDefault="00FC34CF" w:rsidP="004333D9">
            <w:pPr>
              <w:suppressAutoHyphens/>
              <w:rPr>
                <w:rFonts w:ascii="Times New Roman" w:eastAsia="Times New Roman" w:hAnsi="Times New Roman" w:cs="Times New Roman"/>
                <w:color w:val="000000"/>
                <w:sz w:val="24"/>
                <w:szCs w:val="24"/>
                <w:lang w:eastAsia="zh-CN"/>
              </w:rPr>
            </w:pPr>
          </w:p>
        </w:tc>
        <w:tc>
          <w:tcPr>
            <w:tcW w:w="3308" w:type="dxa"/>
            <w:tcBorders>
              <w:left w:val="single" w:sz="4" w:space="0" w:color="000000"/>
              <w:right w:val="single" w:sz="4" w:space="0" w:color="000000"/>
            </w:tcBorders>
          </w:tcPr>
          <w:p w14:paraId="0EDB799D" w14:textId="77777777" w:rsidR="00FC34CF" w:rsidRPr="00C87149" w:rsidRDefault="00FC34C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000000"/>
              <w:bottom w:val="single" w:sz="4" w:space="0" w:color="auto"/>
              <w:right w:val="single" w:sz="4" w:space="0" w:color="auto"/>
            </w:tcBorders>
          </w:tcPr>
          <w:p w14:paraId="14D540D3" w14:textId="44D6B3D7" w:rsidR="00FC34CF"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1.5. Осуществлять международные расчеты по экспортно-импортным операциям;</w:t>
            </w:r>
          </w:p>
        </w:tc>
      </w:tr>
      <w:tr w:rsidR="00FC34CF" w:rsidRPr="00C87149" w14:paraId="17ED84AC" w14:textId="77777777" w:rsidTr="004333D9">
        <w:trPr>
          <w:trHeight w:val="20"/>
        </w:trPr>
        <w:tc>
          <w:tcPr>
            <w:tcW w:w="3307" w:type="dxa"/>
            <w:tcBorders>
              <w:left w:val="single" w:sz="4" w:space="0" w:color="000000"/>
              <w:bottom w:val="single" w:sz="4" w:space="0" w:color="auto"/>
              <w:right w:val="single" w:sz="4" w:space="0" w:color="000000"/>
            </w:tcBorders>
          </w:tcPr>
          <w:p w14:paraId="18911E7A" w14:textId="77777777" w:rsidR="00FC34CF" w:rsidRPr="00C87149" w:rsidRDefault="00FC34CF" w:rsidP="004333D9">
            <w:pPr>
              <w:suppressAutoHyphens/>
              <w:rPr>
                <w:rFonts w:ascii="Times New Roman" w:eastAsia="Times New Roman" w:hAnsi="Times New Roman" w:cs="Times New Roman"/>
                <w:color w:val="000000"/>
                <w:sz w:val="24"/>
                <w:szCs w:val="24"/>
                <w:lang w:eastAsia="zh-CN"/>
              </w:rPr>
            </w:pPr>
          </w:p>
        </w:tc>
        <w:tc>
          <w:tcPr>
            <w:tcW w:w="3308" w:type="dxa"/>
            <w:tcBorders>
              <w:left w:val="single" w:sz="4" w:space="0" w:color="000000"/>
              <w:bottom w:val="single" w:sz="4" w:space="0" w:color="auto"/>
              <w:right w:val="single" w:sz="4" w:space="0" w:color="000000"/>
            </w:tcBorders>
          </w:tcPr>
          <w:p w14:paraId="124AE000" w14:textId="77777777" w:rsidR="00FC34CF" w:rsidRPr="00C87149" w:rsidRDefault="00FC34CF"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000000"/>
              <w:bottom w:val="single" w:sz="4" w:space="0" w:color="auto"/>
              <w:right w:val="single" w:sz="4" w:space="0" w:color="auto"/>
            </w:tcBorders>
          </w:tcPr>
          <w:p w14:paraId="5D8023E2" w14:textId="2F6CCC1E" w:rsidR="00FC34CF"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1.6. Обслуживать расчетные операции с использованием различных видов платежных карт.</w:t>
            </w:r>
          </w:p>
        </w:tc>
      </w:tr>
      <w:tr w:rsidR="004333D9" w:rsidRPr="00C87149" w14:paraId="21A2D176" w14:textId="77777777" w:rsidTr="001F15E9">
        <w:trPr>
          <w:trHeight w:val="20"/>
        </w:trPr>
        <w:tc>
          <w:tcPr>
            <w:tcW w:w="3307" w:type="dxa"/>
            <w:vMerge w:val="restart"/>
            <w:tcBorders>
              <w:top w:val="single" w:sz="4" w:space="0" w:color="auto"/>
              <w:left w:val="single" w:sz="4" w:space="0" w:color="auto"/>
              <w:right w:val="single" w:sz="4" w:space="0" w:color="auto"/>
            </w:tcBorders>
          </w:tcPr>
          <w:p w14:paraId="0E077FB9" w14:textId="1E218757" w:rsidR="004333D9" w:rsidRPr="004333D9"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ВД.02 </w:t>
            </w:r>
            <w:r>
              <w:rPr>
                <w:rFonts w:ascii="Times New Roman" w:hAnsi="Times New Roman" w:cs="Times New Roman"/>
                <w:sz w:val="24"/>
                <w:szCs w:val="24"/>
              </w:rPr>
              <w:t>Осуществление кредитных операций:</w:t>
            </w:r>
          </w:p>
        </w:tc>
        <w:tc>
          <w:tcPr>
            <w:tcW w:w="3308" w:type="dxa"/>
            <w:vMerge w:val="restart"/>
            <w:tcBorders>
              <w:top w:val="single" w:sz="4" w:space="0" w:color="auto"/>
              <w:left w:val="single" w:sz="4" w:space="0" w:color="auto"/>
              <w:right w:val="single" w:sz="4" w:space="0" w:color="auto"/>
            </w:tcBorders>
          </w:tcPr>
          <w:p w14:paraId="50BB8963" w14:textId="0751E921" w:rsidR="004333D9" w:rsidRPr="004333D9"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ПМ.02 </w:t>
            </w:r>
            <w:r>
              <w:rPr>
                <w:rFonts w:ascii="Times New Roman" w:hAnsi="Times New Roman" w:cs="Times New Roman"/>
                <w:sz w:val="24"/>
                <w:szCs w:val="24"/>
              </w:rPr>
              <w:t>Осуществление кредитных операций:</w:t>
            </w:r>
          </w:p>
        </w:tc>
        <w:tc>
          <w:tcPr>
            <w:tcW w:w="3308" w:type="dxa"/>
            <w:tcBorders>
              <w:top w:val="single" w:sz="4" w:space="0" w:color="auto"/>
              <w:left w:val="single" w:sz="4" w:space="0" w:color="auto"/>
              <w:bottom w:val="single" w:sz="4" w:space="0" w:color="auto"/>
              <w:right w:val="single" w:sz="4" w:space="0" w:color="auto"/>
            </w:tcBorders>
          </w:tcPr>
          <w:p w14:paraId="4592891C" w14:textId="4BF0553F" w:rsidR="004333D9"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2.1. Оценивать кредитоспособность клиентов;</w:t>
            </w:r>
          </w:p>
        </w:tc>
      </w:tr>
      <w:tr w:rsidR="004333D9" w:rsidRPr="00C87149" w14:paraId="410B153E" w14:textId="77777777" w:rsidTr="001F15E9">
        <w:trPr>
          <w:trHeight w:val="20"/>
        </w:trPr>
        <w:tc>
          <w:tcPr>
            <w:tcW w:w="3307" w:type="dxa"/>
            <w:vMerge/>
            <w:tcBorders>
              <w:left w:val="single" w:sz="4" w:space="0" w:color="auto"/>
              <w:right w:val="single" w:sz="4" w:space="0" w:color="auto"/>
            </w:tcBorders>
          </w:tcPr>
          <w:p w14:paraId="5A392D3A"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auto"/>
              <w:right w:val="single" w:sz="4" w:space="0" w:color="auto"/>
            </w:tcBorders>
          </w:tcPr>
          <w:p w14:paraId="5E88EC86"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p w14:paraId="45E6C472" w14:textId="78DFE4CF" w:rsidR="004333D9"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2.2. Осуществлять и оформлять выдачу кредитов;</w:t>
            </w:r>
          </w:p>
        </w:tc>
      </w:tr>
      <w:tr w:rsidR="004333D9" w:rsidRPr="00C87149" w14:paraId="56855C12" w14:textId="77777777" w:rsidTr="001F15E9">
        <w:trPr>
          <w:trHeight w:val="20"/>
        </w:trPr>
        <w:tc>
          <w:tcPr>
            <w:tcW w:w="3307" w:type="dxa"/>
            <w:vMerge/>
            <w:tcBorders>
              <w:left w:val="single" w:sz="4" w:space="0" w:color="auto"/>
              <w:right w:val="single" w:sz="4" w:space="0" w:color="auto"/>
            </w:tcBorders>
          </w:tcPr>
          <w:p w14:paraId="7EBDEBC2"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auto"/>
              <w:right w:val="single" w:sz="4" w:space="0" w:color="auto"/>
            </w:tcBorders>
          </w:tcPr>
          <w:p w14:paraId="570A74AD"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p w14:paraId="472AF853" w14:textId="1CF8BCB8" w:rsidR="004333D9"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2.3. Осуществлять сопровождение выданных кредитов;</w:t>
            </w:r>
          </w:p>
        </w:tc>
      </w:tr>
      <w:tr w:rsidR="004333D9" w:rsidRPr="00C87149" w14:paraId="70C40AE9" w14:textId="77777777" w:rsidTr="001F15E9">
        <w:trPr>
          <w:trHeight w:val="20"/>
        </w:trPr>
        <w:tc>
          <w:tcPr>
            <w:tcW w:w="3307" w:type="dxa"/>
            <w:vMerge/>
            <w:tcBorders>
              <w:left w:val="single" w:sz="4" w:space="0" w:color="auto"/>
              <w:right w:val="single" w:sz="4" w:space="0" w:color="auto"/>
            </w:tcBorders>
          </w:tcPr>
          <w:p w14:paraId="552A0929"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auto"/>
              <w:right w:val="single" w:sz="4" w:space="0" w:color="auto"/>
            </w:tcBorders>
          </w:tcPr>
          <w:p w14:paraId="48AE55F1"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p w14:paraId="6323D58A" w14:textId="586C9C12" w:rsidR="004333D9"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2.4. Проводить операции на рынке межбанковских кредитов;</w:t>
            </w:r>
          </w:p>
        </w:tc>
      </w:tr>
      <w:tr w:rsidR="004333D9" w:rsidRPr="00C87149" w14:paraId="078A61E8" w14:textId="77777777" w:rsidTr="001F15E9">
        <w:trPr>
          <w:trHeight w:val="20"/>
        </w:trPr>
        <w:tc>
          <w:tcPr>
            <w:tcW w:w="3307" w:type="dxa"/>
            <w:vMerge/>
            <w:tcBorders>
              <w:left w:val="single" w:sz="4" w:space="0" w:color="auto"/>
              <w:bottom w:val="single" w:sz="4" w:space="0" w:color="auto"/>
              <w:right w:val="single" w:sz="4" w:space="0" w:color="auto"/>
            </w:tcBorders>
          </w:tcPr>
          <w:p w14:paraId="1F853508"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vMerge/>
            <w:tcBorders>
              <w:left w:val="single" w:sz="4" w:space="0" w:color="auto"/>
              <w:bottom w:val="single" w:sz="4" w:space="0" w:color="auto"/>
              <w:right w:val="single" w:sz="4" w:space="0" w:color="auto"/>
            </w:tcBorders>
          </w:tcPr>
          <w:p w14:paraId="54503458" w14:textId="77777777" w:rsidR="004333D9" w:rsidRPr="00C87149" w:rsidRDefault="004333D9" w:rsidP="004333D9">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p w14:paraId="23F4F5E7" w14:textId="691C114B" w:rsidR="004333D9" w:rsidRPr="00FC34CF" w:rsidRDefault="004333D9" w:rsidP="004333D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ПК 2.5. Формировать и регулировать резервы на возможные потери по кредитам.</w:t>
            </w:r>
          </w:p>
        </w:tc>
      </w:tr>
      <w:tr w:rsidR="00BA0F2C" w:rsidRPr="00C87149" w14:paraId="06683C02" w14:textId="77777777" w:rsidTr="004333D9">
        <w:trPr>
          <w:trHeight w:val="20"/>
        </w:trPr>
        <w:tc>
          <w:tcPr>
            <w:tcW w:w="3307" w:type="dxa"/>
            <w:tcBorders>
              <w:top w:val="single" w:sz="4" w:space="0" w:color="auto"/>
              <w:left w:val="single" w:sz="4" w:space="0" w:color="auto"/>
              <w:bottom w:val="single" w:sz="4" w:space="0" w:color="auto"/>
              <w:right w:val="single" w:sz="4" w:space="0" w:color="auto"/>
            </w:tcBorders>
          </w:tcPr>
          <w:tbl>
            <w:tblPr>
              <w:tblpPr w:leftFromText="180" w:rightFromText="180" w:vertAnchor="text" w:tblpX="-289" w:tblpY="1"/>
              <w:tblOverlap w:val="never"/>
              <w:tblW w:w="9923" w:type="dxa"/>
              <w:tblLayout w:type="fixed"/>
              <w:tblCellMar>
                <w:left w:w="5" w:type="dxa"/>
                <w:right w:w="5" w:type="dxa"/>
              </w:tblCellMar>
              <w:tblLook w:val="0000" w:firstRow="0" w:lastRow="0" w:firstColumn="0" w:lastColumn="0" w:noHBand="0" w:noVBand="0"/>
            </w:tblPr>
            <w:tblGrid>
              <w:gridCol w:w="3307"/>
              <w:gridCol w:w="3308"/>
              <w:gridCol w:w="3308"/>
            </w:tblGrid>
            <w:tr w:rsidR="00BA0F2C" w:rsidRPr="00725A69" w14:paraId="1C8E3C1F" w14:textId="77777777" w:rsidTr="00122B3C">
              <w:trPr>
                <w:trHeight w:val="20"/>
              </w:trPr>
              <w:tc>
                <w:tcPr>
                  <w:tcW w:w="3307" w:type="dxa"/>
                  <w:tcBorders>
                    <w:top w:val="single" w:sz="4" w:space="0" w:color="auto"/>
                    <w:left w:val="single" w:sz="4" w:space="0" w:color="000000"/>
                    <w:bottom w:val="single" w:sz="4" w:space="0" w:color="auto"/>
                    <w:right w:val="single" w:sz="4" w:space="0" w:color="000000"/>
                  </w:tcBorders>
                </w:tcPr>
                <w:p w14:paraId="1C555851" w14:textId="77777777" w:rsidR="00BA0F2C" w:rsidRPr="00725A69" w:rsidRDefault="00BA0F2C" w:rsidP="00BA0F2C">
                  <w:pPr>
                    <w:suppressAutoHyphens/>
                    <w:rPr>
                      <w:rFonts w:ascii="Times New Roman" w:eastAsia="Times New Roman" w:hAnsi="Times New Roman" w:cs="Times New Roman"/>
                      <w:bCs/>
                      <w:sz w:val="24"/>
                      <w:szCs w:val="24"/>
                      <w:lang w:eastAsia="zh-CN"/>
                    </w:rPr>
                  </w:pPr>
                  <w:r w:rsidRPr="00725A69">
                    <w:rPr>
                      <w:rFonts w:ascii="Times New Roman" w:eastAsia="Times New Roman" w:hAnsi="Times New Roman" w:cs="Times New Roman"/>
                      <w:bCs/>
                      <w:sz w:val="24"/>
                      <w:szCs w:val="24"/>
                      <w:lang w:eastAsia="zh-CN"/>
                    </w:rPr>
                    <w:t>ВД 03. Освоение видов работ по одной или нескольким профессиям рабочих, должностям служащих</w:t>
                  </w:r>
                  <w:r w:rsidRPr="00725A69">
                    <w:rPr>
                      <w:rFonts w:ascii="Times New Roman" w:eastAsia="Times New Roman" w:hAnsi="Times New Roman" w:cs="Times New Roman"/>
                      <w:bCs/>
                      <w:sz w:val="24"/>
                      <w:szCs w:val="24"/>
                      <w:lang w:eastAsia="zh-CN"/>
                    </w:rPr>
                    <w:tab/>
                  </w:r>
                </w:p>
              </w:tc>
              <w:tc>
                <w:tcPr>
                  <w:tcW w:w="3308" w:type="dxa"/>
                  <w:tcBorders>
                    <w:top w:val="single" w:sz="4" w:space="0" w:color="auto"/>
                    <w:left w:val="single" w:sz="4" w:space="0" w:color="000000"/>
                    <w:bottom w:val="single" w:sz="4" w:space="0" w:color="auto"/>
                    <w:right w:val="single" w:sz="4" w:space="0" w:color="auto"/>
                  </w:tcBorders>
                </w:tcPr>
                <w:p w14:paraId="1129CE4E" w14:textId="77777777" w:rsidR="00BA0F2C" w:rsidRPr="00725A69" w:rsidRDefault="00BA0F2C" w:rsidP="00BA0F2C">
                  <w:pPr>
                    <w:suppressAutoHyphens/>
                    <w:rPr>
                      <w:rFonts w:ascii="Times New Roman" w:eastAsia="Times New Roman" w:hAnsi="Times New Roman" w:cs="Times New Roman"/>
                      <w:color w:val="000000"/>
                      <w:sz w:val="24"/>
                      <w:szCs w:val="24"/>
                      <w:lang w:eastAsia="zh-CN"/>
                    </w:rPr>
                  </w:pPr>
                  <w:r w:rsidRPr="00725A69">
                    <w:rPr>
                      <w:rFonts w:ascii="Times New Roman" w:eastAsia="Times New Roman" w:hAnsi="Times New Roman" w:cs="Times New Roman"/>
                      <w:color w:val="000000"/>
                      <w:sz w:val="24"/>
                      <w:szCs w:val="24"/>
                      <w:lang w:eastAsia="zh-CN"/>
                    </w:rPr>
                    <w:t>ПМ 03</w:t>
                  </w:r>
                  <w:r w:rsidRPr="00725A69">
                    <w:rPr>
                      <w:rFonts w:ascii="Times New Roman" w:eastAsia="Times New Roman" w:hAnsi="Times New Roman" w:cs="Times New Roman"/>
                      <w:bCs/>
                      <w:sz w:val="24"/>
                      <w:szCs w:val="24"/>
                      <w:lang w:eastAsia="zh-CN"/>
                    </w:rPr>
                    <w:t xml:space="preserve"> Освоение видов работ по одной или нескольким профессиям рабочих, должностям служащих</w:t>
                  </w:r>
                </w:p>
              </w:tc>
              <w:tc>
                <w:tcPr>
                  <w:tcW w:w="3308" w:type="dxa"/>
                  <w:tcBorders>
                    <w:top w:val="single" w:sz="4" w:space="0" w:color="auto"/>
                    <w:left w:val="single" w:sz="4" w:space="0" w:color="auto"/>
                    <w:bottom w:val="single" w:sz="4" w:space="0" w:color="auto"/>
                    <w:right w:val="single" w:sz="4" w:space="0" w:color="auto"/>
                  </w:tcBorders>
                </w:tcPr>
                <w:p w14:paraId="0BDC46A1" w14:textId="77777777" w:rsidR="00BA0F2C" w:rsidRPr="00725A69" w:rsidRDefault="00BA0F2C" w:rsidP="00BA0F2C">
                  <w:pPr>
                    <w:suppressAutoHyphens/>
                    <w:rPr>
                      <w:rFonts w:ascii="Times New Roman" w:eastAsia="Times New Roman" w:hAnsi="Times New Roman" w:cs="Times New Roman"/>
                      <w:sz w:val="24"/>
                      <w:szCs w:val="24"/>
                      <w:lang w:eastAsia="zh-CN"/>
                    </w:rPr>
                  </w:pPr>
                </w:p>
              </w:tc>
            </w:tr>
          </w:tbl>
          <w:p w14:paraId="66532AB0" w14:textId="77777777" w:rsidR="00BA0F2C" w:rsidRPr="00C87149" w:rsidRDefault="00BA0F2C" w:rsidP="00BA0F2C">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tbl>
            <w:tblPr>
              <w:tblpPr w:leftFromText="180" w:rightFromText="180" w:vertAnchor="text" w:tblpX="-289" w:tblpY="1"/>
              <w:tblOverlap w:val="never"/>
              <w:tblW w:w="9923" w:type="dxa"/>
              <w:tblLayout w:type="fixed"/>
              <w:tblCellMar>
                <w:left w:w="5" w:type="dxa"/>
                <w:right w:w="5" w:type="dxa"/>
              </w:tblCellMar>
              <w:tblLook w:val="0000" w:firstRow="0" w:lastRow="0" w:firstColumn="0" w:lastColumn="0" w:noHBand="0" w:noVBand="0"/>
            </w:tblPr>
            <w:tblGrid>
              <w:gridCol w:w="3307"/>
              <w:gridCol w:w="3308"/>
              <w:gridCol w:w="3308"/>
            </w:tblGrid>
            <w:tr w:rsidR="00BA0F2C" w:rsidRPr="00725A69" w14:paraId="0A60EB92" w14:textId="77777777" w:rsidTr="00122B3C">
              <w:trPr>
                <w:trHeight w:val="20"/>
              </w:trPr>
              <w:tc>
                <w:tcPr>
                  <w:tcW w:w="3307" w:type="dxa"/>
                  <w:tcBorders>
                    <w:top w:val="single" w:sz="4" w:space="0" w:color="auto"/>
                    <w:left w:val="single" w:sz="4" w:space="0" w:color="000000"/>
                    <w:bottom w:val="single" w:sz="4" w:space="0" w:color="auto"/>
                    <w:right w:val="single" w:sz="4" w:space="0" w:color="000000"/>
                  </w:tcBorders>
                </w:tcPr>
                <w:p w14:paraId="17A53C7E" w14:textId="4220BA75" w:rsidR="00BA0F2C" w:rsidRPr="00725A69" w:rsidRDefault="00BA0F2C" w:rsidP="00BA0F2C">
                  <w:pPr>
                    <w:suppressAutoHyphens/>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ПМ</w:t>
                  </w:r>
                  <w:r w:rsidRPr="00725A69">
                    <w:rPr>
                      <w:rFonts w:ascii="Times New Roman" w:eastAsia="Times New Roman" w:hAnsi="Times New Roman" w:cs="Times New Roman"/>
                      <w:bCs/>
                      <w:sz w:val="24"/>
                      <w:szCs w:val="24"/>
                      <w:lang w:eastAsia="zh-CN"/>
                    </w:rPr>
                    <w:t xml:space="preserve"> 03. Освоение видов работ по одной или нескольким профессиям рабочих, должностям служащих</w:t>
                  </w:r>
                  <w:r w:rsidRPr="00725A69">
                    <w:rPr>
                      <w:rFonts w:ascii="Times New Roman" w:eastAsia="Times New Roman" w:hAnsi="Times New Roman" w:cs="Times New Roman"/>
                      <w:bCs/>
                      <w:sz w:val="24"/>
                      <w:szCs w:val="24"/>
                      <w:lang w:eastAsia="zh-CN"/>
                    </w:rPr>
                    <w:tab/>
                  </w:r>
                </w:p>
              </w:tc>
              <w:tc>
                <w:tcPr>
                  <w:tcW w:w="3308" w:type="dxa"/>
                  <w:tcBorders>
                    <w:top w:val="single" w:sz="4" w:space="0" w:color="auto"/>
                    <w:left w:val="single" w:sz="4" w:space="0" w:color="000000"/>
                    <w:bottom w:val="single" w:sz="4" w:space="0" w:color="auto"/>
                    <w:right w:val="single" w:sz="4" w:space="0" w:color="auto"/>
                  </w:tcBorders>
                </w:tcPr>
                <w:p w14:paraId="390E6F56" w14:textId="77777777" w:rsidR="00BA0F2C" w:rsidRPr="00725A69" w:rsidRDefault="00BA0F2C" w:rsidP="00BA0F2C">
                  <w:pPr>
                    <w:suppressAutoHyphens/>
                    <w:rPr>
                      <w:rFonts w:ascii="Times New Roman" w:eastAsia="Times New Roman" w:hAnsi="Times New Roman" w:cs="Times New Roman"/>
                      <w:color w:val="000000"/>
                      <w:sz w:val="24"/>
                      <w:szCs w:val="24"/>
                      <w:lang w:eastAsia="zh-CN"/>
                    </w:rPr>
                  </w:pPr>
                  <w:r w:rsidRPr="00725A69">
                    <w:rPr>
                      <w:rFonts w:ascii="Times New Roman" w:eastAsia="Times New Roman" w:hAnsi="Times New Roman" w:cs="Times New Roman"/>
                      <w:color w:val="000000"/>
                      <w:sz w:val="24"/>
                      <w:szCs w:val="24"/>
                      <w:lang w:eastAsia="zh-CN"/>
                    </w:rPr>
                    <w:t>ПМ 03</w:t>
                  </w:r>
                  <w:r w:rsidRPr="00725A69">
                    <w:rPr>
                      <w:rFonts w:ascii="Times New Roman" w:eastAsia="Times New Roman" w:hAnsi="Times New Roman" w:cs="Times New Roman"/>
                      <w:bCs/>
                      <w:sz w:val="24"/>
                      <w:szCs w:val="24"/>
                      <w:lang w:eastAsia="zh-CN"/>
                    </w:rPr>
                    <w:t xml:space="preserve"> Освоение видов работ по одной или нескольким профессиям рабочих, должностям служащих</w:t>
                  </w:r>
                </w:p>
              </w:tc>
              <w:tc>
                <w:tcPr>
                  <w:tcW w:w="3308" w:type="dxa"/>
                  <w:tcBorders>
                    <w:top w:val="single" w:sz="4" w:space="0" w:color="auto"/>
                    <w:left w:val="single" w:sz="4" w:space="0" w:color="auto"/>
                    <w:bottom w:val="single" w:sz="4" w:space="0" w:color="auto"/>
                    <w:right w:val="single" w:sz="4" w:space="0" w:color="auto"/>
                  </w:tcBorders>
                </w:tcPr>
                <w:p w14:paraId="79D20D9B" w14:textId="77777777" w:rsidR="00BA0F2C" w:rsidRPr="00725A69" w:rsidRDefault="00BA0F2C" w:rsidP="00BA0F2C">
                  <w:pPr>
                    <w:suppressAutoHyphens/>
                    <w:rPr>
                      <w:rFonts w:ascii="Times New Roman" w:eastAsia="Times New Roman" w:hAnsi="Times New Roman" w:cs="Times New Roman"/>
                      <w:sz w:val="24"/>
                      <w:szCs w:val="24"/>
                      <w:lang w:eastAsia="zh-CN"/>
                    </w:rPr>
                  </w:pPr>
                </w:p>
              </w:tc>
            </w:tr>
          </w:tbl>
          <w:p w14:paraId="1F998E5C" w14:textId="77777777" w:rsidR="00BA0F2C" w:rsidRPr="00C87149" w:rsidRDefault="00BA0F2C" w:rsidP="00BA0F2C">
            <w:pPr>
              <w:suppressAutoHyphens/>
              <w:rPr>
                <w:rFonts w:ascii="Times New Roman" w:eastAsia="Times New Roman" w:hAnsi="Times New Roman" w:cs="Times New Roman"/>
                <w:color w:val="000000"/>
                <w:sz w:val="24"/>
                <w:szCs w:val="24"/>
                <w:lang w:eastAsia="zh-CN"/>
              </w:rPr>
            </w:pPr>
          </w:p>
        </w:tc>
        <w:tc>
          <w:tcPr>
            <w:tcW w:w="3308" w:type="dxa"/>
            <w:tcBorders>
              <w:top w:val="single" w:sz="4" w:space="0" w:color="auto"/>
              <w:left w:val="single" w:sz="4" w:space="0" w:color="auto"/>
              <w:bottom w:val="single" w:sz="4" w:space="0" w:color="auto"/>
              <w:right w:val="single" w:sz="4" w:space="0" w:color="auto"/>
            </w:tcBorders>
          </w:tcPr>
          <w:tbl>
            <w:tblPr>
              <w:tblpPr w:leftFromText="180" w:rightFromText="180" w:vertAnchor="text" w:tblpX="-289" w:tblpY="1"/>
              <w:tblOverlap w:val="never"/>
              <w:tblW w:w="9923" w:type="dxa"/>
              <w:tblLayout w:type="fixed"/>
              <w:tblCellMar>
                <w:left w:w="5" w:type="dxa"/>
                <w:right w:w="5" w:type="dxa"/>
              </w:tblCellMar>
              <w:tblLook w:val="0000" w:firstRow="0" w:lastRow="0" w:firstColumn="0" w:lastColumn="0" w:noHBand="0" w:noVBand="0"/>
            </w:tblPr>
            <w:tblGrid>
              <w:gridCol w:w="3307"/>
              <w:gridCol w:w="3308"/>
              <w:gridCol w:w="3308"/>
            </w:tblGrid>
            <w:tr w:rsidR="00BA0F2C" w:rsidRPr="00725A69" w14:paraId="5A07F4BC" w14:textId="77777777" w:rsidTr="00122B3C">
              <w:trPr>
                <w:trHeight w:val="20"/>
              </w:trPr>
              <w:tc>
                <w:tcPr>
                  <w:tcW w:w="3307" w:type="dxa"/>
                  <w:tcBorders>
                    <w:top w:val="single" w:sz="4" w:space="0" w:color="auto"/>
                    <w:left w:val="single" w:sz="4" w:space="0" w:color="000000"/>
                    <w:bottom w:val="single" w:sz="4" w:space="0" w:color="auto"/>
                    <w:right w:val="single" w:sz="4" w:space="0" w:color="000000"/>
                  </w:tcBorders>
                </w:tcPr>
                <w:p w14:paraId="433A080C" w14:textId="47536171" w:rsidR="00BA0F2C" w:rsidRPr="00725A69" w:rsidRDefault="00BA0F2C" w:rsidP="00BA0F2C">
                  <w:pPr>
                    <w:suppressAutoHyphens/>
                    <w:rPr>
                      <w:rFonts w:ascii="Times New Roman" w:eastAsia="Times New Roman" w:hAnsi="Times New Roman" w:cs="Times New Roman"/>
                      <w:bCs/>
                      <w:sz w:val="24"/>
                      <w:szCs w:val="24"/>
                      <w:lang w:eastAsia="zh-CN"/>
                    </w:rPr>
                  </w:pPr>
                  <w:r w:rsidRPr="00725A69">
                    <w:rPr>
                      <w:rFonts w:ascii="Times New Roman" w:eastAsia="Times New Roman" w:hAnsi="Times New Roman" w:cs="Times New Roman"/>
                      <w:bCs/>
                      <w:sz w:val="24"/>
                      <w:szCs w:val="24"/>
                      <w:lang w:eastAsia="zh-CN"/>
                    </w:rPr>
                    <w:tab/>
                  </w:r>
                </w:p>
              </w:tc>
              <w:tc>
                <w:tcPr>
                  <w:tcW w:w="3308" w:type="dxa"/>
                  <w:tcBorders>
                    <w:top w:val="single" w:sz="4" w:space="0" w:color="auto"/>
                    <w:left w:val="single" w:sz="4" w:space="0" w:color="000000"/>
                    <w:bottom w:val="single" w:sz="4" w:space="0" w:color="auto"/>
                    <w:right w:val="single" w:sz="4" w:space="0" w:color="auto"/>
                  </w:tcBorders>
                </w:tcPr>
                <w:p w14:paraId="24537D31" w14:textId="77777777" w:rsidR="00BA0F2C" w:rsidRPr="00725A69" w:rsidRDefault="00BA0F2C" w:rsidP="00BA0F2C">
                  <w:pPr>
                    <w:suppressAutoHyphens/>
                    <w:rPr>
                      <w:rFonts w:ascii="Times New Roman" w:eastAsia="Times New Roman" w:hAnsi="Times New Roman" w:cs="Times New Roman"/>
                      <w:color w:val="000000"/>
                      <w:sz w:val="24"/>
                      <w:szCs w:val="24"/>
                      <w:lang w:eastAsia="zh-CN"/>
                    </w:rPr>
                  </w:pPr>
                  <w:r w:rsidRPr="00725A69">
                    <w:rPr>
                      <w:rFonts w:ascii="Times New Roman" w:eastAsia="Times New Roman" w:hAnsi="Times New Roman" w:cs="Times New Roman"/>
                      <w:color w:val="000000"/>
                      <w:sz w:val="24"/>
                      <w:szCs w:val="24"/>
                      <w:lang w:eastAsia="zh-CN"/>
                    </w:rPr>
                    <w:t>ПМ 03</w:t>
                  </w:r>
                  <w:r w:rsidRPr="00725A69">
                    <w:rPr>
                      <w:rFonts w:ascii="Times New Roman" w:eastAsia="Times New Roman" w:hAnsi="Times New Roman" w:cs="Times New Roman"/>
                      <w:bCs/>
                      <w:sz w:val="24"/>
                      <w:szCs w:val="24"/>
                      <w:lang w:eastAsia="zh-CN"/>
                    </w:rPr>
                    <w:t xml:space="preserve"> Освоение видов работ по одной или нескольким профессиям рабочих, должностям служащих</w:t>
                  </w:r>
                </w:p>
              </w:tc>
              <w:tc>
                <w:tcPr>
                  <w:tcW w:w="3308" w:type="dxa"/>
                  <w:tcBorders>
                    <w:top w:val="single" w:sz="4" w:space="0" w:color="auto"/>
                    <w:left w:val="single" w:sz="4" w:space="0" w:color="auto"/>
                    <w:bottom w:val="single" w:sz="4" w:space="0" w:color="auto"/>
                    <w:right w:val="single" w:sz="4" w:space="0" w:color="auto"/>
                  </w:tcBorders>
                </w:tcPr>
                <w:p w14:paraId="31F6898F" w14:textId="77777777" w:rsidR="00BA0F2C" w:rsidRPr="00725A69" w:rsidRDefault="00BA0F2C" w:rsidP="00BA0F2C">
                  <w:pPr>
                    <w:suppressAutoHyphens/>
                    <w:rPr>
                      <w:rFonts w:ascii="Times New Roman" w:eastAsia="Times New Roman" w:hAnsi="Times New Roman" w:cs="Times New Roman"/>
                      <w:sz w:val="24"/>
                      <w:szCs w:val="24"/>
                      <w:lang w:eastAsia="zh-CN"/>
                    </w:rPr>
                  </w:pPr>
                </w:p>
              </w:tc>
            </w:tr>
          </w:tbl>
          <w:p w14:paraId="60F732E4" w14:textId="77777777" w:rsidR="00BA0F2C" w:rsidRDefault="00BA0F2C" w:rsidP="00BA0F2C">
            <w:pPr>
              <w:autoSpaceDE w:val="0"/>
              <w:autoSpaceDN w:val="0"/>
              <w:adjustRightInd w:val="0"/>
              <w:rPr>
                <w:rFonts w:ascii="Times New Roman" w:hAnsi="Times New Roman" w:cs="Times New Roman"/>
                <w:sz w:val="24"/>
                <w:szCs w:val="24"/>
              </w:rPr>
            </w:pPr>
          </w:p>
        </w:tc>
      </w:tr>
    </w:tbl>
    <w:p w14:paraId="3888B201" w14:textId="33C06243" w:rsidR="0051713F" w:rsidRPr="00985111" w:rsidRDefault="0051713F" w:rsidP="0051713F">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Умения и навыки, рекомендуемые для включения в содержание КОД, определяются</w:t>
      </w:r>
      <w:r w:rsidRPr="00985111">
        <w:rPr>
          <w:rFonts w:ascii="Times New Roman" w:eastAsia="Times New Roman" w:hAnsi="Times New Roman" w:cs="Times New Roman"/>
          <w:sz w:val="24"/>
          <w:szCs w:val="24"/>
          <w:lang w:eastAsia="zh-CN"/>
        </w:rPr>
        <w:br/>
        <w:t>в соответствии с разделом 4 ПОП-П.</w:t>
      </w:r>
    </w:p>
    <w:p w14:paraId="6F2192AC" w14:textId="77777777" w:rsidR="0051713F" w:rsidRPr="005F59C7" w:rsidRDefault="0051713F" w:rsidP="0051713F">
      <w:pPr>
        <w:suppressAutoHyphens/>
        <w:contextualSpacing/>
        <w:jc w:val="center"/>
        <w:rPr>
          <w:rFonts w:ascii="Times New Roman" w:eastAsia="Times New Roman" w:hAnsi="Times New Roman" w:cs="Times New Roman"/>
          <w:b/>
          <w:sz w:val="24"/>
          <w:szCs w:val="24"/>
          <w:highlight w:val="darkGray"/>
          <w:lang w:eastAsia="zh-CN"/>
        </w:rPr>
      </w:pPr>
    </w:p>
    <w:p w14:paraId="7604C72B" w14:textId="77777777" w:rsidR="0051713F" w:rsidRPr="00985111" w:rsidRDefault="0051713F" w:rsidP="009644CA">
      <w:pPr>
        <w:numPr>
          <w:ilvl w:val="1"/>
          <w:numId w:val="7"/>
        </w:numPr>
        <w:suppressAutoHyphens/>
        <w:spacing w:after="200" w:line="276" w:lineRule="auto"/>
        <w:ind w:left="0" w:firstLine="567"/>
        <w:jc w:val="both"/>
        <w:rPr>
          <w:rFonts w:ascii="Times New Roman" w:eastAsia="Times New Roman" w:hAnsi="Times New Roman" w:cs="Times New Roman"/>
          <w:b/>
          <w:sz w:val="24"/>
          <w:szCs w:val="24"/>
          <w:lang w:val="en-US" w:eastAsia="zh-CN"/>
        </w:rPr>
      </w:pPr>
      <w:r w:rsidRPr="00985111">
        <w:rPr>
          <w:rFonts w:ascii="Times New Roman" w:eastAsia="Times New Roman" w:hAnsi="Times New Roman" w:cs="Times New Roman"/>
          <w:b/>
          <w:sz w:val="24"/>
          <w:szCs w:val="24"/>
          <w:lang w:eastAsia="zh-CN"/>
        </w:rPr>
        <w:t xml:space="preserve"> </w:t>
      </w:r>
      <w:proofErr w:type="spellStart"/>
      <w:r w:rsidRPr="00985111">
        <w:rPr>
          <w:rFonts w:ascii="Times New Roman" w:eastAsia="Times New Roman" w:hAnsi="Times New Roman" w:cs="Times New Roman"/>
          <w:b/>
          <w:sz w:val="24"/>
          <w:szCs w:val="24"/>
          <w:lang w:val="en-US" w:eastAsia="zh-CN"/>
        </w:rPr>
        <w:t>Требования</w:t>
      </w:r>
      <w:proofErr w:type="spellEnd"/>
      <w:r w:rsidRPr="00985111">
        <w:rPr>
          <w:rFonts w:ascii="Times New Roman" w:eastAsia="Times New Roman" w:hAnsi="Times New Roman" w:cs="Times New Roman"/>
          <w:b/>
          <w:sz w:val="24"/>
          <w:szCs w:val="24"/>
          <w:lang w:val="en-US" w:eastAsia="zh-CN"/>
        </w:rPr>
        <w:t xml:space="preserve"> к </w:t>
      </w:r>
      <w:proofErr w:type="spellStart"/>
      <w:r w:rsidRPr="00985111">
        <w:rPr>
          <w:rFonts w:ascii="Times New Roman" w:eastAsia="Times New Roman" w:hAnsi="Times New Roman" w:cs="Times New Roman"/>
          <w:b/>
          <w:sz w:val="24"/>
          <w:szCs w:val="24"/>
          <w:lang w:val="en-US" w:eastAsia="zh-CN"/>
        </w:rPr>
        <w:t>оцениванию</w:t>
      </w:r>
      <w:proofErr w:type="spellEnd"/>
    </w:p>
    <w:tbl>
      <w:tblPr>
        <w:tblStyle w:val="42"/>
        <w:tblW w:w="9639" w:type="dxa"/>
        <w:tblInd w:w="-5" w:type="dxa"/>
        <w:tblLook w:val="04A0" w:firstRow="1" w:lastRow="0" w:firstColumn="1" w:lastColumn="0" w:noHBand="0" w:noVBand="1"/>
      </w:tblPr>
      <w:tblGrid>
        <w:gridCol w:w="6521"/>
        <w:gridCol w:w="3118"/>
      </w:tblGrid>
      <w:tr w:rsidR="0051713F" w:rsidRPr="00985111" w14:paraId="0585E529" w14:textId="77777777" w:rsidTr="009C5D1D">
        <w:trPr>
          <w:trHeight w:val="388"/>
        </w:trPr>
        <w:tc>
          <w:tcPr>
            <w:tcW w:w="6521" w:type="dxa"/>
            <w:vAlign w:val="bottom"/>
          </w:tcPr>
          <w:p w14:paraId="3059B209" w14:textId="77777777" w:rsidR="0051713F" w:rsidRPr="00985111" w:rsidRDefault="0051713F" w:rsidP="0051713F">
            <w:pPr>
              <w:jc w:val="both"/>
              <w:rPr>
                <w:rFonts w:ascii="Times New Roman" w:eastAsia="Times New Roman" w:hAnsi="Times New Roman"/>
                <w:sz w:val="24"/>
                <w:szCs w:val="24"/>
              </w:rPr>
            </w:pPr>
            <w:r w:rsidRPr="00985111">
              <w:rPr>
                <w:rFonts w:ascii="Times New Roman" w:eastAsia="Times New Roman" w:hAnsi="Times New Roman"/>
                <w:sz w:val="24"/>
                <w:szCs w:val="24"/>
              </w:rPr>
              <w:t>Максимально возможное количество баллов</w:t>
            </w:r>
          </w:p>
        </w:tc>
        <w:tc>
          <w:tcPr>
            <w:tcW w:w="3118" w:type="dxa"/>
            <w:vAlign w:val="bottom"/>
          </w:tcPr>
          <w:p w14:paraId="7C0FCF05" w14:textId="77777777" w:rsidR="0051713F" w:rsidRPr="00985111" w:rsidRDefault="0051713F" w:rsidP="0051713F">
            <w:pPr>
              <w:jc w:val="center"/>
              <w:rPr>
                <w:rFonts w:ascii="Times New Roman" w:eastAsia="Times New Roman" w:hAnsi="Times New Roman"/>
                <w:b/>
                <w:sz w:val="24"/>
                <w:szCs w:val="24"/>
              </w:rPr>
            </w:pPr>
            <w:r w:rsidRPr="00985111">
              <w:rPr>
                <w:rFonts w:ascii="Times New Roman" w:eastAsia="Times New Roman" w:hAnsi="Times New Roman"/>
                <w:b/>
                <w:sz w:val="24"/>
                <w:szCs w:val="24"/>
              </w:rPr>
              <w:t>100</w:t>
            </w:r>
          </w:p>
        </w:tc>
      </w:tr>
    </w:tbl>
    <w:p w14:paraId="7CB5108F" w14:textId="77777777" w:rsidR="0051713F" w:rsidRPr="005F59C7" w:rsidRDefault="0051713F" w:rsidP="0051713F">
      <w:pPr>
        <w:suppressAutoHyphens/>
        <w:jc w:val="center"/>
        <w:rPr>
          <w:rFonts w:ascii="Times New Roman" w:eastAsia="Times New Roman" w:hAnsi="Times New Roman" w:cs="Times New Roman"/>
          <w:b/>
          <w:sz w:val="24"/>
          <w:szCs w:val="24"/>
          <w:lang w:eastAsia="zh-CN"/>
        </w:rPr>
      </w:pPr>
      <w:bookmarkStart w:id="0" w:name="_Toc96294977"/>
    </w:p>
    <w:p w14:paraId="494946C5" w14:textId="77777777" w:rsidR="0051713F" w:rsidRPr="00985111" w:rsidRDefault="0051713F" w:rsidP="0051713F">
      <w:pPr>
        <w:suppressAutoHyphens/>
        <w:jc w:val="center"/>
        <w:rPr>
          <w:rFonts w:ascii="Times New Roman" w:eastAsia="Times New Roman" w:hAnsi="Times New Roman" w:cs="Times New Roman"/>
          <w:b/>
          <w:sz w:val="24"/>
          <w:szCs w:val="24"/>
          <w:lang w:eastAsia="zh-CN"/>
        </w:rPr>
      </w:pPr>
      <w:r w:rsidRPr="00985111">
        <w:rPr>
          <w:rFonts w:ascii="Times New Roman" w:eastAsia="Times New Roman" w:hAnsi="Times New Roman" w:cs="Times New Roman"/>
          <w:b/>
          <w:sz w:val="24"/>
          <w:szCs w:val="24"/>
          <w:lang w:eastAsia="zh-CN"/>
        </w:rPr>
        <w:t xml:space="preserve">Рекомендуемая схема перевода результатов демонстрационного экзамена </w:t>
      </w:r>
      <w:r w:rsidRPr="00985111">
        <w:rPr>
          <w:rFonts w:ascii="Times New Roman" w:eastAsia="Times New Roman" w:hAnsi="Times New Roman" w:cs="Times New Roman"/>
          <w:b/>
          <w:sz w:val="24"/>
          <w:szCs w:val="24"/>
          <w:lang w:eastAsia="zh-CN"/>
        </w:rPr>
        <w:br/>
        <w:t>из стобалльной шкалы в пятибалльную</w:t>
      </w:r>
      <w:bookmarkEnd w:id="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510"/>
        <w:gridCol w:w="1560"/>
        <w:gridCol w:w="1559"/>
        <w:gridCol w:w="1559"/>
        <w:gridCol w:w="1446"/>
      </w:tblGrid>
      <w:tr w:rsidR="0051713F" w:rsidRPr="00985111" w14:paraId="0FDBA1B5" w14:textId="77777777" w:rsidTr="009C5D1D">
        <w:trPr>
          <w:trHeight w:val="308"/>
        </w:trPr>
        <w:tc>
          <w:tcPr>
            <w:tcW w:w="3510" w:type="dxa"/>
            <w:shd w:val="clear" w:color="auto" w:fill="auto"/>
            <w:vAlign w:val="center"/>
          </w:tcPr>
          <w:p w14:paraId="1B2CC11F"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Оценка</w:t>
            </w:r>
            <w:r w:rsidRPr="00985111">
              <w:rPr>
                <w:rFonts w:ascii="Times New Roman" w:eastAsia="Times New Roman" w:hAnsi="Times New Roman" w:cs="Times New Roman"/>
                <w:b/>
                <w:color w:val="000000"/>
                <w:sz w:val="24"/>
                <w:szCs w:val="24"/>
                <w:lang w:eastAsia="zh-CN"/>
              </w:rPr>
              <w:br/>
              <w:t xml:space="preserve"> (пятибалльная шкала)</w:t>
            </w:r>
          </w:p>
        </w:tc>
        <w:tc>
          <w:tcPr>
            <w:tcW w:w="1560" w:type="dxa"/>
            <w:shd w:val="clear" w:color="auto" w:fill="auto"/>
            <w:vAlign w:val="center"/>
          </w:tcPr>
          <w:p w14:paraId="1EF975AA"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«2»</w:t>
            </w:r>
          </w:p>
        </w:tc>
        <w:tc>
          <w:tcPr>
            <w:tcW w:w="1559" w:type="dxa"/>
            <w:shd w:val="clear" w:color="auto" w:fill="auto"/>
            <w:vAlign w:val="center"/>
          </w:tcPr>
          <w:p w14:paraId="6323C576"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«3»</w:t>
            </w:r>
          </w:p>
        </w:tc>
        <w:tc>
          <w:tcPr>
            <w:tcW w:w="1559" w:type="dxa"/>
            <w:shd w:val="clear" w:color="auto" w:fill="auto"/>
            <w:vAlign w:val="center"/>
          </w:tcPr>
          <w:p w14:paraId="6E5B1D60"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«4»</w:t>
            </w:r>
          </w:p>
        </w:tc>
        <w:tc>
          <w:tcPr>
            <w:tcW w:w="1446" w:type="dxa"/>
            <w:shd w:val="clear" w:color="auto" w:fill="auto"/>
            <w:vAlign w:val="center"/>
          </w:tcPr>
          <w:p w14:paraId="3882E017"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«5»</w:t>
            </w:r>
          </w:p>
        </w:tc>
      </w:tr>
      <w:tr w:rsidR="0051713F" w:rsidRPr="00985111" w14:paraId="43B2DA78" w14:textId="77777777" w:rsidTr="009C5D1D">
        <w:trPr>
          <w:trHeight w:val="950"/>
        </w:trPr>
        <w:tc>
          <w:tcPr>
            <w:tcW w:w="3510" w:type="dxa"/>
            <w:shd w:val="clear" w:color="auto" w:fill="auto"/>
            <w:vAlign w:val="center"/>
          </w:tcPr>
          <w:p w14:paraId="77D75DF0" w14:textId="77777777" w:rsidR="0051713F" w:rsidRPr="00985111" w:rsidRDefault="0051713F" w:rsidP="0051713F">
            <w:pPr>
              <w:suppressAutoHyphens/>
              <w:jc w:val="center"/>
              <w:rPr>
                <w:rFonts w:ascii="Times New Roman" w:eastAsia="Times New Roman" w:hAnsi="Times New Roman" w:cs="Times New Roman"/>
                <w:b/>
                <w:color w:val="000000"/>
                <w:sz w:val="24"/>
                <w:szCs w:val="24"/>
                <w:lang w:eastAsia="zh-CN"/>
              </w:rPr>
            </w:pPr>
            <w:r w:rsidRPr="00985111">
              <w:rPr>
                <w:rFonts w:ascii="Times New Roman" w:eastAsia="Times New Roman" w:hAnsi="Times New Roman" w:cs="Times New Roman"/>
                <w:b/>
                <w:color w:val="000000"/>
                <w:sz w:val="24"/>
                <w:szCs w:val="24"/>
                <w:lang w:eastAsia="zh-CN"/>
              </w:rPr>
              <w:t>Оценка в баллах (стобалльная шкала)</w:t>
            </w:r>
          </w:p>
        </w:tc>
        <w:tc>
          <w:tcPr>
            <w:tcW w:w="1560" w:type="dxa"/>
            <w:shd w:val="clear" w:color="auto" w:fill="auto"/>
            <w:vAlign w:val="center"/>
          </w:tcPr>
          <w:p w14:paraId="1C3BC171"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 xml:space="preserve">0,00 – </w:t>
            </w:r>
          </w:p>
          <w:p w14:paraId="3B78CC44"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19,99</w:t>
            </w:r>
          </w:p>
        </w:tc>
        <w:tc>
          <w:tcPr>
            <w:tcW w:w="1559" w:type="dxa"/>
            <w:shd w:val="clear" w:color="auto" w:fill="auto"/>
            <w:vAlign w:val="center"/>
          </w:tcPr>
          <w:p w14:paraId="244119BB"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 xml:space="preserve">20,00 – </w:t>
            </w:r>
          </w:p>
          <w:p w14:paraId="7084EA48"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39,99</w:t>
            </w:r>
          </w:p>
        </w:tc>
        <w:tc>
          <w:tcPr>
            <w:tcW w:w="1559" w:type="dxa"/>
            <w:shd w:val="clear" w:color="auto" w:fill="auto"/>
            <w:vAlign w:val="center"/>
          </w:tcPr>
          <w:p w14:paraId="361CB3B5"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40,00 –</w:t>
            </w:r>
          </w:p>
          <w:p w14:paraId="062701CC"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69,99</w:t>
            </w:r>
          </w:p>
        </w:tc>
        <w:tc>
          <w:tcPr>
            <w:tcW w:w="1446" w:type="dxa"/>
            <w:shd w:val="clear" w:color="auto" w:fill="auto"/>
            <w:vAlign w:val="center"/>
          </w:tcPr>
          <w:p w14:paraId="217C96D3" w14:textId="77777777" w:rsidR="0051713F" w:rsidRPr="00985111" w:rsidRDefault="0051713F" w:rsidP="0051713F">
            <w:pPr>
              <w:suppressAutoHyphens/>
              <w:jc w:val="center"/>
              <w:rPr>
                <w:rFonts w:ascii="Times New Roman" w:eastAsia="Times New Roman" w:hAnsi="Times New Roman" w:cs="Times New Roman"/>
                <w:color w:val="000000"/>
                <w:sz w:val="24"/>
                <w:szCs w:val="24"/>
                <w:lang w:eastAsia="zh-CN"/>
              </w:rPr>
            </w:pPr>
            <w:r w:rsidRPr="00985111">
              <w:rPr>
                <w:rFonts w:ascii="Times New Roman" w:eastAsia="Times New Roman" w:hAnsi="Times New Roman" w:cs="Times New Roman"/>
                <w:color w:val="000000"/>
                <w:sz w:val="24"/>
                <w:szCs w:val="24"/>
                <w:lang w:eastAsia="zh-CN"/>
              </w:rPr>
              <w:t>70,00 – 100,00</w:t>
            </w:r>
          </w:p>
        </w:tc>
      </w:tr>
    </w:tbl>
    <w:p w14:paraId="3F7401D0" w14:textId="77777777" w:rsidR="0051713F" w:rsidRPr="005F59C7" w:rsidRDefault="0051713F" w:rsidP="0051713F">
      <w:pPr>
        <w:suppressAutoHyphens/>
        <w:ind w:firstLine="709"/>
        <w:jc w:val="both"/>
        <w:rPr>
          <w:rFonts w:ascii="Times New Roman" w:hAnsi="Times New Roman" w:cs="Times New Roman"/>
          <w:sz w:val="24"/>
          <w:szCs w:val="24"/>
        </w:rPr>
      </w:pPr>
    </w:p>
    <w:p w14:paraId="399B503A" w14:textId="0874464E" w:rsidR="0051713F" w:rsidRPr="00985111" w:rsidRDefault="0051713F" w:rsidP="009644CA">
      <w:pPr>
        <w:numPr>
          <w:ilvl w:val="1"/>
          <w:numId w:val="7"/>
        </w:numPr>
        <w:suppressAutoHyphens/>
        <w:spacing w:after="200" w:line="276" w:lineRule="auto"/>
        <w:ind w:left="0" w:firstLine="709"/>
        <w:jc w:val="both"/>
        <w:rPr>
          <w:rFonts w:ascii="Times New Roman" w:hAnsi="Times New Roman" w:cs="Times New Roman"/>
          <w:b/>
          <w:sz w:val="24"/>
          <w:szCs w:val="24"/>
        </w:rPr>
      </w:pPr>
      <w:r w:rsidRPr="00985111">
        <w:rPr>
          <w:rFonts w:ascii="Times New Roman" w:hAnsi="Times New Roman" w:cs="Times New Roman"/>
          <w:b/>
          <w:sz w:val="24"/>
          <w:szCs w:val="24"/>
        </w:rPr>
        <w:t xml:space="preserve"> Учет в КОД условий для лиц с ограниченными возможностями здоровья </w:t>
      </w:r>
      <w:r w:rsidRPr="00985111">
        <w:rPr>
          <w:rFonts w:ascii="Times New Roman" w:hAnsi="Times New Roman" w:cs="Times New Roman"/>
          <w:b/>
          <w:sz w:val="24"/>
          <w:szCs w:val="24"/>
        </w:rPr>
        <w:br/>
        <w:t>и выпускников из числа детей-инвалидов и инвалидов</w:t>
      </w:r>
    </w:p>
    <w:p w14:paraId="16619990" w14:textId="77777777" w:rsidR="0051713F" w:rsidRPr="00985111" w:rsidRDefault="0051713F" w:rsidP="0051713F">
      <w:pPr>
        <w:suppressAutoHyphens/>
        <w:ind w:firstLine="708"/>
        <w:jc w:val="both"/>
        <w:rPr>
          <w:rFonts w:ascii="Times New Roman" w:eastAsia="Times New Roman" w:hAnsi="Times New Roman" w:cs="Times New Roman"/>
          <w:iCs/>
          <w:sz w:val="24"/>
          <w:szCs w:val="24"/>
          <w:lang w:eastAsia="zh-CN"/>
        </w:rPr>
      </w:pPr>
      <w:r w:rsidRPr="00985111">
        <w:rPr>
          <w:rFonts w:ascii="Times New Roman" w:eastAsia="Times New Roman" w:hAnsi="Times New Roman" w:cs="Times New Roman"/>
          <w:iCs/>
          <w:sz w:val="24"/>
          <w:szCs w:val="24"/>
          <w:lang w:eastAsia="zh-CN"/>
        </w:rPr>
        <w:t>Для выпускников из числа лиц с ограниченными возможностями здоровья</w:t>
      </w:r>
      <w:r w:rsidRPr="00985111">
        <w:rPr>
          <w:rFonts w:ascii="Times New Roman" w:eastAsia="Times New Roman" w:hAnsi="Times New Roman" w:cs="Times New Roman"/>
          <w:iCs/>
          <w:sz w:val="24"/>
          <w:szCs w:val="24"/>
          <w:lang w:eastAsia="zh-CN"/>
        </w:rPr>
        <w:br/>
        <w:t>и выпускников из числа детей-инвалидов и инвалидов в КОД учитываются условия, позволяющие проводить демонстрационный экзамен профильного уровня с учетом особенностей и возможностей такой категории лиц.</w:t>
      </w:r>
    </w:p>
    <w:p w14:paraId="394CF0A5" w14:textId="77777777" w:rsidR="0051713F" w:rsidRPr="005F59C7" w:rsidRDefault="0051713F" w:rsidP="0051713F">
      <w:pPr>
        <w:suppressAutoHyphens/>
        <w:jc w:val="both"/>
        <w:rPr>
          <w:rFonts w:ascii="Times New Roman" w:eastAsia="Times New Roman" w:hAnsi="Times New Roman" w:cs="Times New Roman"/>
          <w:sz w:val="24"/>
          <w:szCs w:val="24"/>
          <w:shd w:val="clear" w:color="auto" w:fill="FFFFFF"/>
          <w:lang w:eastAsia="zh-CN"/>
        </w:rPr>
      </w:pPr>
    </w:p>
    <w:sectPr w:rsidR="0051713F" w:rsidRPr="005F59C7" w:rsidSect="005D7117">
      <w:pgSz w:w="11907" w:h="16840"/>
      <w:pgMar w:top="1134" w:right="567" w:bottom="1134" w:left="1701" w:header="567" w:footer="709" w:gutter="0"/>
      <w:pgNumType w:start="5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4A123" w14:textId="77777777" w:rsidR="00766DDE" w:rsidRDefault="00766DDE" w:rsidP="00A858FE">
      <w:r>
        <w:separator/>
      </w:r>
    </w:p>
  </w:endnote>
  <w:endnote w:type="continuationSeparator" w:id="0">
    <w:p w14:paraId="4D03AD53" w14:textId="77777777" w:rsidR="00766DDE" w:rsidRDefault="00766DD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59022" w14:textId="77777777" w:rsidR="00766DDE" w:rsidRDefault="00766DDE" w:rsidP="00A858FE">
      <w:r>
        <w:separator/>
      </w:r>
    </w:p>
  </w:footnote>
  <w:footnote w:type="continuationSeparator" w:id="0">
    <w:p w14:paraId="167F4072" w14:textId="77777777" w:rsidR="00766DDE" w:rsidRDefault="00766DDE" w:rsidP="00A858FE">
      <w:r>
        <w:continuationSeparator/>
      </w:r>
    </w:p>
  </w:footnote>
  <w:footnote w:id="1">
    <w:p w14:paraId="4388D51D" w14:textId="77777777" w:rsidR="0051713F" w:rsidRPr="00953020" w:rsidRDefault="0051713F" w:rsidP="0051713F">
      <w:pPr>
        <w:pStyle w:val="af1"/>
        <w:shd w:val="clear" w:color="auto" w:fill="FFFFFF" w:themeFill="background1"/>
        <w:ind w:firstLine="709"/>
        <w:jc w:val="both"/>
        <w:rPr>
          <w:lang w:val="ru-RU"/>
        </w:rPr>
      </w:pPr>
      <w:r w:rsidRPr="00135B33">
        <w:rPr>
          <w:rStyle w:val="af3"/>
        </w:rPr>
        <w:footnoteRef/>
      </w:r>
      <w:r w:rsidRPr="00135B33">
        <w:rPr>
          <w:lang w:val="ru-RU"/>
        </w:rPr>
        <w:t xml:space="preserve"> Отдельные положения Порядка проведения государственной итоговой аттестации по программам СПО, утвержденного приказом Министерства просвещения Российской Федерации от 08.11.2021 № 800.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Pr="007B5CC1">
          <w:rPr>
            <w:rFonts w:ascii="Times New Roman" w:hAnsi="Times New Roman" w:cs="Times New Roman"/>
            <w:sz w:val="24"/>
            <w:szCs w:val="24"/>
          </w:rPr>
          <w:t>2</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34FEF"/>
    <w:rsid w:val="00042069"/>
    <w:rsid w:val="000545B1"/>
    <w:rsid w:val="00064407"/>
    <w:rsid w:val="0007128F"/>
    <w:rsid w:val="00071AFC"/>
    <w:rsid w:val="00080C48"/>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4B17"/>
    <w:rsid w:val="002C5BC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4E33"/>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3D9"/>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5790"/>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66DDE"/>
    <w:rsid w:val="0077014D"/>
    <w:rsid w:val="00770390"/>
    <w:rsid w:val="00774C93"/>
    <w:rsid w:val="00774CB0"/>
    <w:rsid w:val="00781491"/>
    <w:rsid w:val="00783A45"/>
    <w:rsid w:val="00784B56"/>
    <w:rsid w:val="00785307"/>
    <w:rsid w:val="007900D3"/>
    <w:rsid w:val="007A1BB6"/>
    <w:rsid w:val="007A5964"/>
    <w:rsid w:val="007B0B1F"/>
    <w:rsid w:val="007B0D1E"/>
    <w:rsid w:val="007B1A7F"/>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34CA"/>
    <w:rsid w:val="00824A07"/>
    <w:rsid w:val="0083014A"/>
    <w:rsid w:val="0083183C"/>
    <w:rsid w:val="0083567F"/>
    <w:rsid w:val="00847DA6"/>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C50F7"/>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4645A"/>
    <w:rsid w:val="00A52C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908BE"/>
    <w:rsid w:val="00B908E8"/>
    <w:rsid w:val="00B97A66"/>
    <w:rsid w:val="00BA0F2C"/>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39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603AF"/>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464D8"/>
    <w:rsid w:val="00F509BC"/>
    <w:rsid w:val="00F51D4D"/>
    <w:rsid w:val="00F54598"/>
    <w:rsid w:val="00F56026"/>
    <w:rsid w:val="00F64E28"/>
    <w:rsid w:val="00F666EC"/>
    <w:rsid w:val="00F66EEA"/>
    <w:rsid w:val="00F70A68"/>
    <w:rsid w:val="00F716DB"/>
    <w:rsid w:val="00F735C1"/>
    <w:rsid w:val="00F77D1D"/>
    <w:rsid w:val="00F80C94"/>
    <w:rsid w:val="00F876CD"/>
    <w:rsid w:val="00F87CCB"/>
    <w:rsid w:val="00F92178"/>
    <w:rsid w:val="00F94F60"/>
    <w:rsid w:val="00F9569D"/>
    <w:rsid w:val="00FA4D9D"/>
    <w:rsid w:val="00FA67F6"/>
    <w:rsid w:val="00FA77B1"/>
    <w:rsid w:val="00FA7DCC"/>
    <w:rsid w:val="00FB2082"/>
    <w:rsid w:val="00FB371B"/>
    <w:rsid w:val="00FC1BE0"/>
    <w:rsid w:val="00FC34CF"/>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6EEA"/>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2328283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1631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1021</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Пользователь</cp:lastModifiedBy>
  <cp:revision>9</cp:revision>
  <cp:lastPrinted>2023-04-28T08:44:00Z</cp:lastPrinted>
  <dcterms:created xsi:type="dcterms:W3CDTF">2023-07-10T09:53:00Z</dcterms:created>
  <dcterms:modified xsi:type="dcterms:W3CDTF">2023-07-13T10:03:00Z</dcterms:modified>
</cp:coreProperties>
</file>